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bookmarkStart w:id="1" w:name="_GoBack"/>
      <w:bookmarkEnd w:id="1"/>
      <w:r>
        <w:rPr>
          <w:rFonts w:hint="eastAsia"/>
          <w:lang w:val="en-US" w:eastAsia="zh-CN"/>
        </w:rPr>
        <w:t>附件：</w:t>
      </w:r>
    </w:p>
    <w:p>
      <w:pPr>
        <w:keepNext w:val="0"/>
        <w:keepLines w:val="0"/>
        <w:pageBreakBefore w:val="0"/>
        <w:wordWrap/>
        <w:overflowPunct/>
        <w:topLinePunct w:val="0"/>
        <w:bidi w:val="0"/>
        <w:spacing w:line="360" w:lineRule="auto"/>
        <w:jc w:val="center"/>
        <w:outlineLvl w:val="0"/>
        <w:rPr>
          <w:rFonts w:hint="eastAsia" w:ascii="方正小标宋简体" w:hAnsi="方正小标宋简体" w:eastAsia="方正小标宋简体" w:cs="方正小标宋简体"/>
          <w:b w:val="0"/>
          <w:bCs w:val="0"/>
          <w:color w:val="auto"/>
          <w:spacing w:val="7"/>
          <w:sz w:val="36"/>
          <w:szCs w:val="36"/>
          <w:lang w:val="en-US" w:eastAsia="zh-CN"/>
        </w:rPr>
      </w:pPr>
      <w:r>
        <w:rPr>
          <w:rFonts w:hint="eastAsia" w:ascii="方正小标宋简体" w:hAnsi="方正小标宋简体" w:eastAsia="方正小标宋简体" w:cs="方正小标宋简体"/>
          <w:b w:val="0"/>
          <w:bCs w:val="0"/>
          <w:color w:val="auto"/>
          <w:spacing w:val="7"/>
          <w:sz w:val="36"/>
          <w:szCs w:val="36"/>
          <w:lang w:val="en-US" w:eastAsia="zh-Hans"/>
        </w:rPr>
        <w:t>陕西省</w:t>
      </w:r>
      <w:r>
        <w:rPr>
          <w:rFonts w:hint="eastAsia" w:ascii="方正小标宋简体" w:hAnsi="方正小标宋简体" w:eastAsia="方正小标宋简体" w:cs="方正小标宋简体"/>
          <w:b w:val="0"/>
          <w:bCs w:val="0"/>
          <w:color w:val="auto"/>
          <w:spacing w:val="7"/>
          <w:sz w:val="36"/>
          <w:szCs w:val="36"/>
        </w:rPr>
        <w:t>公共资源交易</w:t>
      </w:r>
      <w:r>
        <w:rPr>
          <w:rFonts w:hint="eastAsia" w:ascii="方正小标宋简体" w:hAnsi="方正小标宋简体" w:eastAsia="方正小标宋简体" w:cs="方正小标宋简体"/>
          <w:b w:val="0"/>
          <w:bCs w:val="0"/>
          <w:color w:val="auto"/>
          <w:spacing w:val="7"/>
          <w:sz w:val="36"/>
          <w:szCs w:val="36"/>
          <w:lang w:val="en-US" w:eastAsia="zh-Hans"/>
        </w:rPr>
        <w:t>信用</w:t>
      </w:r>
      <w:r>
        <w:rPr>
          <w:rFonts w:hint="eastAsia" w:ascii="方正小标宋简体" w:hAnsi="方正小标宋简体" w:eastAsia="方正小标宋简体" w:cs="方正小标宋简体"/>
          <w:b w:val="0"/>
          <w:bCs w:val="0"/>
          <w:color w:val="auto"/>
          <w:spacing w:val="7"/>
          <w:sz w:val="36"/>
          <w:szCs w:val="36"/>
        </w:rPr>
        <w:t>管理办法</w:t>
      </w:r>
      <w:r>
        <w:rPr>
          <w:rFonts w:hint="eastAsia" w:ascii="方正小标宋简体" w:hAnsi="方正小标宋简体" w:eastAsia="方正小标宋简体" w:cs="方正小标宋简体"/>
          <w:b w:val="0"/>
          <w:bCs w:val="0"/>
          <w:color w:val="auto"/>
          <w:spacing w:val="7"/>
          <w:sz w:val="36"/>
          <w:szCs w:val="36"/>
          <w:lang w:val="en-US" w:eastAsia="zh-CN"/>
        </w:rPr>
        <w:t>(</w:t>
      </w:r>
      <w:r>
        <w:rPr>
          <w:rFonts w:hint="eastAsia" w:ascii="方正小标宋简体" w:hAnsi="方正小标宋简体" w:eastAsia="方正小标宋简体" w:cs="方正小标宋简体"/>
          <w:b w:val="0"/>
          <w:bCs w:val="0"/>
          <w:color w:val="auto"/>
          <w:spacing w:val="7"/>
          <w:sz w:val="36"/>
          <w:szCs w:val="36"/>
        </w:rPr>
        <w:t>修订</w:t>
      </w:r>
      <w:r>
        <w:rPr>
          <w:rFonts w:hint="eastAsia" w:ascii="方正小标宋简体" w:hAnsi="方正小标宋简体" w:eastAsia="方正小标宋简体" w:cs="方正小标宋简体"/>
          <w:b w:val="0"/>
          <w:bCs w:val="0"/>
          <w:color w:val="auto"/>
          <w:spacing w:val="7"/>
          <w:sz w:val="36"/>
          <w:szCs w:val="36"/>
          <w:lang w:eastAsia="zh-CN"/>
        </w:rPr>
        <w:t>版</w:t>
      </w:r>
      <w:r>
        <w:rPr>
          <w:rFonts w:hint="eastAsia" w:ascii="方正小标宋简体" w:hAnsi="方正小标宋简体" w:eastAsia="方正小标宋简体" w:cs="方正小标宋简体"/>
          <w:b w:val="0"/>
          <w:bCs w:val="0"/>
          <w:color w:val="auto"/>
          <w:spacing w:val="7"/>
          <w:sz w:val="36"/>
          <w:szCs w:val="36"/>
          <w:lang w:val="en-US" w:eastAsia="zh-CN"/>
        </w:rPr>
        <w:t>)</w:t>
      </w:r>
    </w:p>
    <w:p>
      <w:pPr>
        <w:pStyle w:val="5"/>
        <w:jc w:val="center"/>
        <w:rPr>
          <w:rFonts w:hint="eastAsia"/>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（征求意见稿）</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_GB2312" w:hAnsi="仿宋_GB2312" w:eastAsia="仿宋_GB2312" w:cs="仿宋_GB2312"/>
          <w:b/>
          <w:bCs/>
          <w:color w:val="auto"/>
          <w:sz w:val="32"/>
          <w:szCs w:val="32"/>
        </w:rPr>
      </w:pPr>
      <w:r>
        <w:rPr>
          <w:rFonts w:hint="eastAsia" w:ascii="黑体" w:hAnsi="黑体" w:eastAsia="黑体" w:cs="黑体"/>
          <w:sz w:val="32"/>
          <w:szCs w:val="32"/>
          <w:lang w:val="en-US" w:eastAsia="zh-Hans"/>
        </w:rPr>
        <w:t>第一章</w:t>
      </w:r>
      <w:r>
        <w:rPr>
          <w:rFonts w:hint="eastAsia" w:ascii="黑体" w:hAnsi="黑体" w:eastAsia="黑体" w:cs="黑体"/>
          <w:sz w:val="32"/>
          <w:szCs w:val="32"/>
          <w:lang w:eastAsia="zh-Hans"/>
        </w:rPr>
        <w:t xml:space="preserve"> </w:t>
      </w:r>
      <w:r>
        <w:rPr>
          <w:rFonts w:hint="eastAsia" w:ascii="黑体" w:hAnsi="黑体" w:eastAsia="黑体" w:cs="黑体"/>
          <w:sz w:val="32"/>
          <w:szCs w:val="32"/>
        </w:rPr>
        <w:t>总则</w:t>
      </w:r>
      <w:bookmarkStart w:id="0" w:name="_Toc8756"/>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Autospacing="0" w:line="540" w:lineRule="exact"/>
        <w:ind w:left="0" w:right="0" w:firstLine="642"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第一条【目的依据】</w:t>
      </w:r>
      <w:bookmarkEnd w:id="0"/>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为推进社会信用体系建设，强化信用在公共资源交易活动中的激励约束作用，维护公平诚信的市场秩序，依据《公共资源交易平台管理暂行办法》《公共资源交易实施主体信用评价实施指南》《失信主体联合惩戒备忘录》</w:t>
      </w:r>
      <w:r>
        <w:rPr>
          <w:rFonts w:hint="eastAsia" w:ascii="仿宋_GB2312" w:hAnsi="仿宋_GB2312" w:eastAsia="仿宋_GB2312" w:cs="仿宋_GB2312"/>
          <w:snapToGrid w:val="0"/>
          <w:color w:val="000000" w:themeColor="text1"/>
          <w:kern w:val="0"/>
          <w:sz w:val="32"/>
          <w:szCs w:val="32"/>
          <w:vertAlign w:val="baseline"/>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陕西省社会信用条例</w:t>
      </w:r>
      <w:r>
        <w:rPr>
          <w:rFonts w:hint="eastAsia" w:ascii="仿宋_GB2312" w:hAnsi="仿宋_GB2312" w:eastAsia="仿宋_GB2312" w:cs="仿宋_GB2312"/>
          <w:snapToGrid w:val="0"/>
          <w:color w:val="000000" w:themeColor="text1"/>
          <w:kern w:val="0"/>
          <w:sz w:val="32"/>
          <w:szCs w:val="32"/>
          <w:vertAlign w:val="baseline"/>
          <w:lang w:eastAsia="zh-CN" w:bidi="ar"/>
          <w14:textFill>
            <w14:solidFill>
              <w14:schemeClr w14:val="tx1"/>
            </w14:solidFill>
          </w14:textFill>
        </w:rPr>
        <w:t>》《陕西省优化营商环境条例》</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等有关法规及政策文件规定，结合本省实际，制定本办法。</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Autospacing="0" w:line="540" w:lineRule="exact"/>
        <w:ind w:left="0" w:right="0" w:firstLine="642" w:firstLineChars="200"/>
        <w:jc w:val="left"/>
        <w:textAlignment w:val="baseline"/>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第二条【适用范围】</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本办法适用于本省行政区域内公共资源交易活动信用信息的记录、归集、公开、共享、应用和监督管理。</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Autospacing="0" w:line="540" w:lineRule="exact"/>
        <w:ind w:left="0" w:right="0" w:firstLine="640" w:firstLineChars="200"/>
        <w:jc w:val="left"/>
        <w:textAlignment w:val="baseline"/>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本办法所称公共资源交易活动</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当事人</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包括参与公共资源交易活动的招标人、采购人、出让人、转让方、委托人等项目发起方；招标代理机构、政府采购代理机构、拍卖机构等中介代理服务机构；投标人、供应商、受让人、竞买人等项目响应方；评标评审专家以及相关从业人员等。</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Autospacing="0" w:line="540" w:lineRule="exact"/>
        <w:ind w:left="0" w:right="0" w:firstLine="640" w:firstLineChars="200"/>
        <w:jc w:val="left"/>
        <w:textAlignment w:val="baseline"/>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本办法所称信用信息是指</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可用以识别、分析、判断公共资源交易活动当事人信用状况的客观数据和资料。</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基本原则</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公共资源交易活动信用管理应当遵循依法实施、公开透明、互认共享</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、依法保护交易当事人的合法权益等</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原则。</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第四条【职责分工】</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省</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公共资源交易平台</w:t>
      </w:r>
      <w:r>
        <w:rPr>
          <w:rFonts w:hint="eastAsia" w:ascii="仿宋_GB2312" w:hAnsi="仿宋_GB2312" w:eastAsia="仿宋_GB2312" w:cs="仿宋_GB2312"/>
          <w:snapToGrid w:val="0"/>
          <w:color w:val="000000" w:themeColor="text1"/>
          <w:kern w:val="0"/>
          <w:sz w:val="32"/>
          <w:szCs w:val="32"/>
          <w:highlight w:val="none"/>
          <w:vertAlign w:val="baseline"/>
          <w:lang w:val="en-US" w:eastAsia="zh-Hans" w:bidi="ar"/>
          <w14:textFill>
            <w14:solidFill>
              <w14:schemeClr w14:val="tx1"/>
            </w14:solidFill>
          </w14:textFill>
        </w:rPr>
        <w:t>整合共享牵头部门会同</w:t>
      </w:r>
      <w:r>
        <w:rPr>
          <w:rFonts w:hint="eastAsia" w:ascii="仿宋_GB2312" w:hAnsi="仿宋_GB2312" w:eastAsia="仿宋_GB2312" w:cs="仿宋_GB2312"/>
          <w:snapToGrid w:val="0"/>
          <w:color w:val="000000" w:themeColor="text1"/>
          <w:kern w:val="0"/>
          <w:sz w:val="32"/>
          <w:szCs w:val="32"/>
          <w:highlight w:val="none"/>
          <w:vertAlign w:val="baseline"/>
          <w:lang w:val="en-US" w:eastAsia="zh-CN" w:bidi="ar"/>
          <w14:textFill>
            <w14:solidFill>
              <w14:schemeClr w14:val="tx1"/>
            </w14:solidFill>
          </w14:textFill>
        </w:rPr>
        <w:t>相关</w:t>
      </w:r>
      <w:r>
        <w:rPr>
          <w:rFonts w:hint="eastAsia" w:ascii="仿宋_GB2312" w:hAnsi="仿宋_GB2312" w:eastAsia="仿宋_GB2312" w:cs="仿宋_GB2312"/>
          <w:snapToGrid w:val="0"/>
          <w:color w:val="000000" w:themeColor="text1"/>
          <w:kern w:val="0"/>
          <w:sz w:val="32"/>
          <w:szCs w:val="32"/>
          <w:highlight w:val="none"/>
          <w:vertAlign w:val="baseline"/>
          <w:lang w:val="en-US" w:eastAsia="zh-Hans" w:bidi="ar"/>
          <w14:textFill>
            <w14:solidFill>
              <w14:schemeClr w14:val="tx1"/>
            </w14:solidFill>
          </w14:textFill>
        </w:rPr>
        <w:t>行政监督管理部门负责</w:t>
      </w:r>
      <w:r>
        <w:rPr>
          <w:rFonts w:hint="eastAsia" w:ascii="仿宋_GB2312" w:hAnsi="仿宋_GB2312" w:eastAsia="仿宋_GB2312" w:cs="仿宋_GB2312"/>
          <w:snapToGrid w:val="0"/>
          <w:color w:val="000000" w:themeColor="text1"/>
          <w:kern w:val="0"/>
          <w:sz w:val="32"/>
          <w:szCs w:val="32"/>
          <w:highlight w:val="none"/>
          <w:vertAlign w:val="baseline"/>
          <w:lang w:val="en-US" w:eastAsia="zh-CN" w:bidi="ar"/>
          <w14:textFill>
            <w14:solidFill>
              <w14:schemeClr w14:val="tx1"/>
            </w14:solidFill>
          </w14:textFill>
        </w:rPr>
        <w:t>指导、</w:t>
      </w:r>
      <w:r>
        <w:rPr>
          <w:rFonts w:hint="eastAsia" w:ascii="仿宋_GB2312" w:hAnsi="仿宋_GB2312" w:eastAsia="仿宋_GB2312" w:cs="仿宋_GB2312"/>
          <w:snapToGrid w:val="0"/>
          <w:color w:val="000000" w:themeColor="text1"/>
          <w:kern w:val="0"/>
          <w:sz w:val="32"/>
          <w:szCs w:val="32"/>
          <w:highlight w:val="none"/>
          <w:vertAlign w:val="baseline"/>
          <w:lang w:val="en-US" w:eastAsia="zh-Hans" w:bidi="ar"/>
          <w14:textFill>
            <w14:solidFill>
              <w14:schemeClr w14:val="tx1"/>
            </w14:solidFill>
          </w14:textFill>
        </w:rPr>
        <w:t>协调和</w:t>
      </w:r>
      <w:r>
        <w:rPr>
          <w:rFonts w:hint="eastAsia" w:ascii="仿宋_GB2312" w:hAnsi="仿宋_GB2312" w:eastAsia="仿宋_GB2312" w:cs="仿宋_GB2312"/>
          <w:snapToGrid w:val="0"/>
          <w:color w:val="000000" w:themeColor="text1"/>
          <w:kern w:val="0"/>
          <w:sz w:val="32"/>
          <w:szCs w:val="32"/>
          <w:highlight w:val="none"/>
          <w:vertAlign w:val="baseline"/>
          <w:lang w:val="en-US" w:eastAsia="zh-CN" w:bidi="ar"/>
          <w14:textFill>
            <w14:solidFill>
              <w14:schemeClr w14:val="tx1"/>
            </w14:solidFill>
          </w14:textFill>
        </w:rPr>
        <w:t>监督</w:t>
      </w:r>
      <w:r>
        <w:rPr>
          <w:rFonts w:hint="eastAsia" w:ascii="仿宋_GB2312" w:hAnsi="仿宋_GB2312" w:eastAsia="仿宋_GB2312" w:cs="仿宋_GB2312"/>
          <w:snapToGrid w:val="0"/>
          <w:color w:val="000000" w:themeColor="text1"/>
          <w:kern w:val="0"/>
          <w:sz w:val="32"/>
          <w:szCs w:val="32"/>
          <w:highlight w:val="none"/>
          <w:vertAlign w:val="baseline"/>
          <w:lang w:val="en-US" w:eastAsia="zh-Hans" w:bidi="ar"/>
          <w14:textFill>
            <w14:solidFill>
              <w14:schemeClr w14:val="tx1"/>
            </w14:solidFill>
          </w14:textFill>
        </w:rPr>
        <w:t>全省公共资源交易信用管理相关工作。推进公共资源交易信息公开共享，推动交易当事人信用信息在公共资源交易活动中的应用，实施公共资源交易活动全过程信用管理。</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各级相关行政监督部门按照规定的职责分工，负责本行业领域公共资源交易信用监督管理工作，依托全省统一的</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公共资源交易平台</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电子监督系统和现有的行业监督系统，依法依规对本领域公共资源交易活动当事人的信用信息进行认定、记录、共享、管理和应用，并将公共资源交易活动信息和交易当事人信用信息作为实施监管的重要依据。</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省公共资源交易平台运行服务机构负责建立全省统一的公共资源交易当事人信用信息数据库，协助配合行政监督部门，依法依规做好信用信息的归集、记录、共享和应用工作。</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第五条【平台枢纽】</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省公共资源交易平台是公共资源交易信用信息记录、归集、共享、更新、应用的载体和枢纽，</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与全国信用信息共享平台(陕西)、省政务数据共享交换平台、省电子证照库以及行业部门监督系统实现互联互通、数据共享，实时向全国信用信息共享平台(陕西)汇集公共资源交易活动中产生的信用信息。</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outlineLvl w:val="0"/>
        <w:rPr>
          <w:rFonts w:hint="eastAsia" w:ascii="仿宋_GB2312" w:hAnsi="仿宋_GB2312" w:eastAsia="仿宋_GB2312" w:cs="仿宋_GB2312"/>
          <w:b/>
          <w:bCs/>
          <w:color w:val="000000" w:themeColor="text1"/>
          <w:spacing w:val="1"/>
          <w:sz w:val="32"/>
          <w:szCs w:val="32"/>
          <w:lang w:val="en-US" w:eastAsia="zh-Hans"/>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第二章 信用信息共享</w:t>
      </w:r>
    </w:p>
    <w:p>
      <w:pPr>
        <w:pStyle w:val="8"/>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642" w:firstLineChars="200"/>
        <w:jc w:val="left"/>
        <w:textAlignment w:val="baseline"/>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Hans" w:bidi="ar-SA"/>
          <w14:textFill>
            <w14:solidFill>
              <w14:schemeClr w14:val="tx1"/>
            </w14:solidFill>
          </w14:textFill>
        </w:rPr>
        <w:t>第六条【信息分类】</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公共资源交易信用信息包括基本信息、</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良好信息</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不良</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信息和</w:t>
      </w:r>
      <w:r>
        <w:rPr>
          <w:rFonts w:hint="eastAsia" w:ascii="仿宋_GB2312" w:hAnsi="仿宋_GB2312" w:eastAsia="仿宋_GB2312" w:cs="仿宋_GB2312"/>
          <w:snapToGrid w:val="0"/>
          <w:color w:val="000000" w:themeColor="text1"/>
          <w:kern w:val="0"/>
          <w:sz w:val="32"/>
          <w:szCs w:val="32"/>
          <w:highlight w:val="none"/>
          <w:vertAlign w:val="baseline"/>
          <w:lang w:val="en-US" w:eastAsia="zh-CN" w:bidi="ar"/>
          <w14:textFill>
            <w14:solidFill>
              <w14:schemeClr w14:val="tx1"/>
            </w14:solidFill>
          </w14:textFill>
        </w:rPr>
        <w:t>承诺信息</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七</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条【基本信息】</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基本信息是指可识别、分析和判断公共资源交易当事人基本情况的信息。主要包括：</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（一）自然人在公安部门登记的个人身份识别信息、职业信息，法人和其他组织在登记机关的登记注册信息、统一社会信用代码；</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（二）自然人、法人和</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非法人</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组织获得的资质、资格等行政许可信息、行政备案信息及其他行政决定信息；</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（三）法律、法规规定应当作为基本信息予以归集的其他信息。</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八</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良好</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信息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记录</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良好信息是指公共资源交易活动当事人在参与公共资源交易活动</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或</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实施工程建设过程中，严格遵守</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相关</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法律、法规</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及</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强制性标准，严格履行合同，在维护市场秩序中起到良好作用，并获得由国务院或省级人民政府批准保留的评比达标表彰项目的奖励信息。</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第九条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不良</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信息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记录</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不良信息是指由行政监督部门、司法机关以及法律法规授权的具有公共事务管理职能的机构依法认定的，自然人、法人和其他组织在公共资源交易活动中存在违法违规、未依法履行约定义务等失信信息。主要包括:</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（一）违反公平竞争原则，损害国家利益、社会公共利益或者他人的合法权益的；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（二）提供虚假材料谋取中标的；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（三）当事人之间恶意串通的;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（四）以他人名义投标或者以其他方式弄虚作假，骗取中标的；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（五）背离合同实质性内容再订立其他协议的；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（六）通过行贿等非法手段谋取利益的;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（七）拒不履行法定义务，严重影响司法机关、行政机关公信力的处罚信息或其他失信信息的;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（八）向他人透露对招标文件的评标评审和比较、中标候选人的推荐以及与评标评审有关的其他情况的；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（九）拒绝有关部门监督检查或者提供虚假情况的；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（十）捏造事实、伪造材料，或者以非法手段获取证明材料进行质疑投诉的；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（十一）向他人透露应当保密的信息以及隐匿、销毁应当保存的文件资料或者伪造、编造文件资料的；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（十二）接受贿赂、利用职务之便谋取不正当利益的；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（十三）</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项目发起方</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规避招标或拒不履行合同义务；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（十四）未履行公开承诺内容的；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（十五）其他由行政监督部门对公共资源交易活动当事人作出处罚的相关信息。</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第十条【承诺信息】</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承诺信息是指公共资源交易活动当事人在参与公共资源交易活动时</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以规范格式按规定向社会公开承诺的信用信息。承诺信息主要包括：</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（一）所提交的材料真实、合法、有效；</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（二）严格履行合同；</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（三）守法诚信、公平竞争；</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（四）未兑现承诺自愿接受的惩戒措施；</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（五）法律法规规定的其他事项和交易当事人认为需要承诺的其他事项。</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第十一条【信息填报】</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公共资源交易当事人在首次注册交易时应当填报相关信用信息（涉及国家秘密的信息不得填报），并对其真实性负责。已注册的，在信息发生变更时，应及时补充填报。</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第十二条【信息记录】</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各级行政监督部门应当按照职责分工，对交易当事人在公共资源交易活动中产生的各类信用信息进行记录，将要素完整、符合规则的信息核定完毕后，</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按照规定</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及时推送至同级信用信息平台</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，同步共享</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同级公共资源交易平台进行发布。</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各市</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公共资源交易平台应同步推送到陕西省公共资源交易平台。</w:t>
      </w:r>
    </w:p>
    <w:p>
      <w:pPr>
        <w:pStyle w:val="5"/>
        <w:keepNext w:val="0"/>
        <w:keepLines w:val="0"/>
        <w:pageBreakBefore w:val="0"/>
        <w:widowControl w:val="0"/>
        <w:numPr>
          <w:ilvl w:val="0"/>
          <w:numId w:val="0"/>
        </w:numPr>
        <w:wordWrap/>
        <w:overflowPunct/>
        <w:topLinePunct w:val="0"/>
        <w:bidi w:val="0"/>
        <w:spacing w:beforeAutospacing="0" w:after="0" w:line="540" w:lineRule="exact"/>
        <w:ind w:left="0" w:leftChars="0" w:firstLine="642" w:firstLineChars="200"/>
        <w:jc w:val="left"/>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第十三条【信息汇集】</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省公共资源交易平台运行服务机构应当按照全国统一的公共资源交易平台数据规范，建立交易当事人信用信息数据库，及时准确汇集各类信用信息，做好交易当事人信用信息的记录、整理等工作。</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第十四条【信息公开】</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公共资源交易当事人的基本信息、统一的社会信用代码、良好信息名称及确认文件、不良信息名称、处理决定书、处理时间、惩戒时限、承诺信息和惩戒执行情况等，公共资源交易</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平台</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应当主动向社会公开。</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 xml:space="preserve">公共资源交易当事人信用信息公开不得侵犯商业秘密和个人隐私，法律、法规另有规定的从其规定。对个人相关信息的公开，必须有明确的法律、法规或者国务院决定、命令作为依据或经本人同意，并进行脱敏处理。 </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第十五条【信息公示】</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各级行政监督部门、公共资源交易平台运行服务机构应当按照《陕西省公共信用信息目录》，自相关信息生成之日起7日内上传至公共资源交易平台。其中，交易公告信息、中介机构信息、</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项目发起方</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（采购人、出让人、转让人）信息、成交信息、监管信息等应当依法通过</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公共资源交易平台</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门户网站向社会公布。</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未按本办法规定记录、生成、验证和交互的信息，不得在公共资源交易平台公开和应用。</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第十六条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公开期限</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省内公共资源交易领域信用信息应当依据法律、法规和国家规定予以公开，对于不良信息，法律法规没有规定的，公开期限原则上为1年，一般不超过</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5</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年，自不良信息认定之日起计算。其中交易当事人被列入严重失信主体名单的信息，公开期限至被移出名单之日</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止</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。超过公开期限的不良信息应当转为档案保存。法律、法规和国家另有规定的，从其规定。</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第十七条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信息共享</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省内各级公共资源交易平台可以从</w:t>
      </w:r>
      <w:r>
        <w:rPr>
          <w:rFonts w:hint="eastAsia" w:ascii="仿宋_GB2312" w:hAnsi="仿宋_GB2312" w:eastAsia="仿宋_GB2312" w:cs="仿宋_GB2312"/>
          <w:snapToGrid w:val="0"/>
          <w:color w:val="000000" w:themeColor="text1"/>
          <w:kern w:val="0"/>
          <w:sz w:val="32"/>
          <w:szCs w:val="32"/>
          <w:vertAlign w:val="baseline"/>
          <w:lang w:val="en-US" w:eastAsia="zh-CN" w:bidi="ar"/>
          <w14:textFill>
            <w14:solidFill>
              <w14:schemeClr w14:val="tx1"/>
            </w14:solidFill>
          </w14:textFill>
        </w:rPr>
        <w:t>省级公共资源交易平台</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获取各类主体信息和信用信息。</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行政监督部门和监察机关根据监督、监察工作需要，可以依法调用相关交易信息，并严格遵守有关保密规定。</w:t>
      </w:r>
    </w:p>
    <w:p>
      <w:pPr>
        <w:pStyle w:val="5"/>
        <w:keepNext w:val="0"/>
        <w:keepLines w:val="0"/>
        <w:pageBreakBefore w:val="0"/>
        <w:widowControl w:val="0"/>
        <w:wordWrap/>
        <w:overflowPunct/>
        <w:topLinePunct w:val="0"/>
        <w:bidi w:val="0"/>
        <w:spacing w:beforeAutospacing="0" w:after="0" w:line="540" w:lineRule="exact"/>
        <w:ind w:firstLine="646" w:firstLineChars="200"/>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pPr>
      <w:r>
        <w:rPr>
          <w:rFonts w:hint="eastAsia" w:ascii="仿宋_GB2312" w:hAnsi="仿宋_GB2312" w:eastAsia="仿宋_GB2312" w:cs="仿宋_GB2312"/>
          <w:b/>
          <w:bCs/>
          <w:snapToGrid w:val="0"/>
          <w:color w:val="000000" w:themeColor="text1"/>
          <w:spacing w:val="1"/>
          <w:kern w:val="0"/>
          <w:sz w:val="32"/>
          <w:szCs w:val="32"/>
          <w:lang w:val="en-US" w:eastAsia="zh-Hans" w:bidi="ar-SA"/>
          <w14:textFill>
            <w14:solidFill>
              <w14:schemeClr w14:val="tx1"/>
            </w14:solidFill>
          </w14:textFill>
        </w:rPr>
        <w:t>第十八条【信息安全】</w:t>
      </w:r>
      <w:r>
        <w:rPr>
          <w:rFonts w:hint="eastAsia" w:ascii="仿宋_GB2312" w:hAnsi="仿宋_GB2312" w:eastAsia="仿宋_GB2312" w:cs="仿宋_GB2312"/>
          <w:snapToGrid w:val="0"/>
          <w:color w:val="000000" w:themeColor="text1"/>
          <w:kern w:val="0"/>
          <w:sz w:val="32"/>
          <w:szCs w:val="32"/>
          <w:vertAlign w:val="baseline"/>
          <w:lang w:val="en-US" w:eastAsia="zh-Hans" w:bidi="ar"/>
          <w14:textFill>
            <w14:solidFill>
              <w14:schemeClr w14:val="tx1"/>
            </w14:solidFill>
          </w14:textFill>
        </w:rPr>
        <w:t>公共资源交易信用信息管理和使用单位应当严格按照有关规定，建立完善公共资源交易领域信用信息安全规章制度，采取必要技术措施，做好数据安全防护工作。建立完善信息登记、查询、使用、审计、核验制度等，防止信息泄露。</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outlineLvl w:val="0"/>
        <w:rPr>
          <w:rFonts w:hint="eastAsia" w:ascii="黑体" w:hAnsi="黑体" w:eastAsia="黑体" w:cs="黑体"/>
          <w:color w:val="000000" w:themeColor="text1"/>
          <w:kern w:val="2"/>
          <w:sz w:val="32"/>
          <w:szCs w:val="32"/>
          <w:lang w:val="en-US" w:eastAsia="zh-Hans" w:bidi="ar-SA"/>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第三章 信用评价</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第十九条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【负责部门】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公共资源交易平台整合共享牵头部门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会同行业行政监督部门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依据《公共资源交易实施主体信用评价实施指南》《失信主体联合惩戒备忘录》《陕西省公共资源交易主体行为评价管理办法（试行）》等</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制定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陕西省公共资源交易行为信用信息评价标准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》（以下简称《信用信息评价标准》）</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各级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行政监督部门按照职责分工，负责本行业公共资源交易市场主体行为信用信息的记录、归集、认定、应用和管理，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受理</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 xml:space="preserve">异议和信用修复事项。 </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各级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公共资源交易平台运行服务机构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依据《</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负责建立公共资源交易市场主体行为信用信息记录量化管理档案，配合行政监督部门做好信用信息的记录、归集、公开和共享等工作，协助行政监督部门办理失信主体信用信息修复工作。</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评价内容</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》中的的</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评价考核内容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为公共资源交易当事人</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在交易</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活动</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中贯彻执行相关法律法规、交易流程和规范服务等</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情况。</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第二十一条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评价规则</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评价考核得分由基本分、加分项、</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一般不良行为</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较重不良行为</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严重不良行为</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等5个部分组成，基本分为100分，</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采取扣分制</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公共资源交易当事人在交易活动中表现良好的</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满足附件中各交易当事人加分条件的可适当进行加分</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加分项满分</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分</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第二十二条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评价等级</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公共资源交易当事人交易活动</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信用等级分为</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BBB</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四个等级，信用行为记录周期为一年。</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级：评价结果得分在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0分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（含）</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以上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级：评价结果得分在8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分（含）以上；</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级：评价结果得分在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分（含）以上；</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BBB</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级：评价结果得分在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分（含）以上；</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FF0000"/>
          <w:sz w:val="32"/>
          <w:szCs w:val="32"/>
          <w:lang w:val="en" w:eastAsia="zh-CN"/>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公共资源交易当事人交易活动</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信用等级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未达到BBB以上</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等级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，用</w:t>
      </w:r>
      <w:r>
        <w:rPr>
          <w:rFonts w:hint="default" w:ascii="仿宋_GB2312" w:hAnsi="仿宋_GB2312" w:eastAsia="仿宋_GB2312" w:cs="仿宋_GB2312"/>
          <w:b w:val="0"/>
          <w:bCs w:val="0"/>
          <w:color w:val="000000" w:themeColor="text1"/>
          <w:sz w:val="32"/>
          <w:szCs w:val="32"/>
          <w:lang w:val="en" w:eastAsia="zh-CN"/>
          <w14:textFill>
            <w14:solidFill>
              <w14:schemeClr w14:val="tx1"/>
            </w14:solidFill>
          </w14:textFill>
        </w:rPr>
        <w:t>NR</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进行标识。</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二十三</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条【列入</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严重失信主体</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名单】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交易当事人有下列情形之一，并造成严重不良后果或社会舆情的，直接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标记为NR</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，列入严重失信主体名单。</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招标人</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（采购人）</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及其从业人员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1．违反法律规定，必须进行招标的项目而不招标的，将必须进行招标的项目化整为零或者以其他任何方式规避招标的；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以不合理的条件限制或者排斥潜在投标人的，对潜在投标人实行歧视待遇的，强制要求投标人组成联合体共同投标的，或者限制投标人之间竞争的；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3．依法必须进行招标的项目的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向他人透露已获取招标文件的潜在投标人的名称、数量或者可能影响公平竞争的有关招标投标的其他情况的，或者泄露标底的；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4．依法必须进行招标的项目，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违反法律规定，与投标人就投标价格、投标方案等实质性内容进行谈判的；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在评标委员会依法推荐的中标候选人以外确定中标人的，依法必须进行招标的项目在所有投标被评标委员会否决后自行确定中标人的；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不按照招标文件和中标人的投标文件订立合同的，或者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订立背离合同实质性内容协议的；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7．</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存在与供应商恶意串通，在采购过程中接受贿赂或者获取其他不正当利益，在有关部门依法实施的监督检查中提供虚假情况或者开标前泄露标底等情形的；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9．</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未将集中采购机构采购项目委托集中采购机构代理采购的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违反法律规定隐匿、销毁应当保存的采购文件或者伪造、变造采购文件的；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11．行政监督部门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val="en-US" w:eastAsia="zh-Hans"/>
          <w14:textFill>
            <w14:solidFill>
              <w14:schemeClr w14:val="tx1"/>
            </w14:solidFill>
          </w14:textFill>
        </w:rPr>
        <w:t>投标人（供应商）</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及其相关从业人员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1．投标人相互串通投标或者与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串通投标的，投标人以向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或者评标委员会成员行贿的手段谋取中标的；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2．投标人以他人名义投标或者以其他方式弄虚作假，骗取中标的；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3．中标人将中标项目转让给他人的，将中标项目肢解后分别转让给他人的，违反法律规定将中标项目的部分主体、关键性工作分包给他人的，或者分包人再次分包的；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4．中标人（供应商）不按照招标文件和中标人的投标文件订立合同的，或者中标人（供应商）订立背离合同实质性内容协议的。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5．中标人不按照与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订立的合同履行义务，情节严重的；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6．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7．捏造事实、伪造材料，或者以非法手段获取证明材料进行质疑或者投诉；</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8．行政监督部门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（三）产权转让方及其从业人员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1．与竞买方串通损害国家利益、社会公共利益或者他人合法权益的，造成严重危害的行为；</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2．采取行贿、提供回扣、分成或者给予其他不正当利益等手段对交易活动造成严重危害的行为；</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3．行政监督部门认定的其他情节严重情形。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（四）产权受让方（竞买人）及其从业人员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1．在参与竞价的过程中，采取恶意串通、欺诈、胁迫等手段压低价格，造成国有资产流失或产生重大影响的；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2．交易合同签订后，不按照与订立的交易合同履行义务的；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（五）中介代理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机构及其从业人员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1．中介代理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机构违反法律规定，泄露应当保密的与招标投标活动有关的情况和资料的，或者与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、投标人串通损害国家利益、社会公共利益或者他人合法权益的；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2．中介代理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机构违反法律规定隐匿、销毁应当保存的公共资源交易文件或者伪造、变造文件的；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3．中介代理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机构及其工作人员存在与投标人（供应商）或者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中介代理服务机构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间恶意串通，在交易过程中接受贿赂或者获取其他不正当利益，在有关部门依法实施的监督检查中提供虚假情况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4．与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或投标人串通，为特定投标人谋取中标提供便利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5．行政监督部门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（六）评标评审专家</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1．评标委员会成员收受投标人的财物或者其他好处的，评标委员会成员或者参加评标的有关工作人员向他人透露对投标文件的评审和比较、中标候选人的推荐以及与评标有关的其他情况的；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 对评标委员会成员应当回避而不回避、擅离职守、不按照招标文件规定的评标标准和方法评标、对依法应当否决的投标不提出否决意见等行为拒不改正的；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．行政监督部门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认定的其他情节严重情形。</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第二十四条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评价方式</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公共资源交易评价工作</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依据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信用信息评价标准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，依托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市场主体</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信用信息库开发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全省统一的公共资源交易当事人信用信息</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自动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评价</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功能，相关信用信息应当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每日</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更新。</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级公共资源交易平台运行服务机构</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负责实施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本级</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平台的市场信用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评价</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工作，相关信用信息应当及时归集到信用信息库，实现每日更新。</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第二十五条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记分周期</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每条交易当事人行为信息的记分周期为12个月，法律法规另有规定的从其规定。记分周期满后，该行为信息记录及其量化记分信息转入公共资源交易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后台保存，不再用于量化记分和记分累计。</w:t>
      </w:r>
    </w:p>
    <w:p>
      <w:pPr>
        <w:pStyle w:val="5"/>
        <w:keepNext w:val="0"/>
        <w:keepLines w:val="0"/>
        <w:pageBreakBefore w:val="0"/>
        <w:widowControl w:val="0"/>
        <w:wordWrap/>
        <w:overflowPunct/>
        <w:topLinePunct w:val="0"/>
        <w:bidi w:val="0"/>
        <w:spacing w:beforeAutospacing="0" w:after="0" w:line="540" w:lineRule="exact"/>
        <w:jc w:val="cente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第四章 信用信息应用</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第二十六条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鼓励应用</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鼓励交易当事人、公共资源交易平台运行服务机构以及行政监督部门在公共资源交易事前、事中、事后应用公共资源交易平台公开的信用信息，推动形成守信激励和失信惩戒机制。</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各级行政监督部门应建立公共资源交易领域守信激励对象和严重失信主体名单，推动实施信用激励和联合惩戒。</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第二十七条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守信激励</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对本领域内年度评为</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AAA</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级的无不良信用记录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 xml:space="preserve">公共资源交易当事人，可以采取以下激励措施：   </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公共资源交易平台运行服务机构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可提供优先办理、简化程序等便利服务措施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，鼓励交易平台减少或免予收取交易服务费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（二）参与公共资源交易招标项目的投标人可减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免</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投标保证金、履约保证金，并支持优先采用信用承诺的方式进行交易担保；</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（三）鼓励项目单位选择中介代理服务机构时优先考虑；</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（四）对评标评审专家年终考核予以适当加分，到期优先续聘；</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（五）行政监督部门可减少日常监督和专项检查频次；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（六）鼓励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按照招标投标法律法规规定，以招标文件约定等方式实施其他激励。</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第二十八条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失信惩戒</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对本领域内年度信用评价为</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级</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的公共资源交易当事人实行预警机制，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各级行政监督部门应强化监督检查；</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年度</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评为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BBB</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级的公共资源交易当事人，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在交易活动中</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采取以下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限制</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措施：</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在委托相关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中介代理服务机构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开展交易活动前，应当查询其信用信息，选择无失信记录的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中介代理服务机构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承接其公共资源交易业务；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项目发起方</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通过招标文件、采购文件等交易文件约定，不与其进行公共资源交易。以联合体形式申请交易的，联合体成员有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惩戒</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信息的，应将该联合体视为被惩戒对象；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评标评审专家库管理部门不得聘用惩戒信息有效期内的自然人为评标、评审专家，对聘用期间产生不良信息的，应及时清退。惩戒信息有效期内的自然人不得担任各类交易活动的评标、评审专家；</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中介代理服务机构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不得使用惩戒信息有效期内的从业人员参与公共资源交易；</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（五）行政监督部门将其列为重点监督检查对象，在日常监督和专项检查中增加检查频次；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（六）取消或者减少已经享受的行政便利化措施；</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（七）其他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法律、</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法规规定的惩戒措施。</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第二十九条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联合惩戒</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对在公共资源交易活动中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列入严重失信主体名单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交易</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当事人依法实施联合惩戒</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建立健全失信联合惩戒对象名单制度，加快构建跨地区、跨行业的失信联合惩戒机制。在全省范围内实施的严重失信主体名单制度，其名单认定标准应当以法律、行政法规或者本省相关政策文件确定。</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rPr>
          <w:rFonts w:hint="eastAsia" w:ascii="仿宋_GB2312" w:hAnsi="仿宋_GB2312" w:eastAsia="仿宋_GB2312" w:cs="仿宋_GB2312"/>
          <w:b/>
          <w:bCs/>
          <w:color w:val="000000" w:themeColor="text1"/>
          <w:spacing w:val="1"/>
          <w:sz w:val="32"/>
          <w:szCs w:val="32"/>
          <w:lang w:val="en-US" w:eastAsia="zh-Hans"/>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第五章 权益保护</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信用修复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原则</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鼓励失信主体依法依规主动纠正失信行为、消除不良社会影响等方式修复信用。信用修复应当遵循依法依规、失信主体主动申请、谁认定失信行为谁负责办理的原则。</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行政监督部门，可视交易当事人不良行为的信用修复情况作为将其退出不良行为信用信息记录的重要参考。</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信用修复不改变行政监督部门的处罚有效性。</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条【修复路径】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在严重失信主体名单信息使用期限内，同时符合下列条件，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失信主体</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可向相关行政监督部门提出书面信用修复申请退出严重失信主体名单，由行政监督部门在部门网站进行公示，公示期为5个工作日：</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（一）初次列入严重失信主体名单，已按规定全面履行法定义务或完成整改，该失信行为的不良社会影响已基本消除，且在其后6个月内再未发生严重失信行为的；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（二）非初次列入严重失信主体名单，但已按规定全面履行法定义务或完成整改，且在其后12个月内再未发生严重失信行为的；</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（三）有信息提供单位认可的其他重大悔改表现，并已采取有效措施防止再次发生严重失信行为的，建立信用管理制度并承诺不再失信。</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示期间有异议的，严重失信主体名单提供单位应核实并提出意见。公示期间无异议的，信用修复受理部门将信用修复信息发送至公共资源交易平台运行服务机构。信用修复后，原始严重失信主体名单信息应当转为档案保存。</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修复申请材料</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申请信用修复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对象</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应提交以下材料：</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）信用修复申请书；</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守信承诺书；</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履行法定义务、纠正违法行为的相关材料</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修复受理</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部门要求的其他资料。</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条【异议申请】</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公共资源交易活动当事人或利害关系人认为交易信用平台公开的信用信息内容存在错误、遗漏，或者信息归集、披露、使用过程中存在侵犯其合法权益等情形的，可以向公共资源交易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提出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更正</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申请。</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条【异议处理】</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公共资源交易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收到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更正</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申请后，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应当配合相关行政监督部门于</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3个工作日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内核实，</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因自身原因造成错误的立即更正，并将更正结果在2个工作日内告知申请人。</w:t>
      </w:r>
    </w:p>
    <w:p>
      <w:pPr>
        <w:pStyle w:val="5"/>
        <w:keepNext w:val="0"/>
        <w:keepLines w:val="0"/>
        <w:pageBreakBefore w:val="0"/>
        <w:widowControl w:val="0"/>
        <w:wordWrap/>
        <w:overflowPunct/>
        <w:topLinePunct w:val="0"/>
        <w:bidi w:val="0"/>
        <w:spacing w:beforeAutospacing="0" w:after="0" w:line="540" w:lineRule="exact"/>
        <w:ind w:firstLine="640" w:firstLineChars="200"/>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对非其自身原因造成的异议信息，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应当自受理异议起15个工作日内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,配相关行政监督部门</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核实并提出处理意见，在2个工作日内将核查结果告知申请人。相关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不良</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信息与事实确实不符的，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平台运行服务机构</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应当及时纠正并进行公告。</w:t>
      </w:r>
    </w:p>
    <w:p>
      <w:pPr>
        <w:pStyle w:val="5"/>
        <w:keepNext w:val="0"/>
        <w:keepLines w:val="0"/>
        <w:pageBreakBefore w:val="0"/>
        <w:widowControl w:val="0"/>
        <w:numPr>
          <w:ilvl w:val="0"/>
          <w:numId w:val="0"/>
        </w:numPr>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修复告知</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信用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修复受理</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部门根据信用修复制度作出是否准予信用修复的决定。准予信用修复的，应当自决定作出之日起3个工作日内，</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将信用修复情况告知交易当事人</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；不予信用修复的，应当告知</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交易当事人</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理由。</w:t>
      </w:r>
    </w:p>
    <w:p>
      <w:pPr>
        <w:keepNext w:val="0"/>
        <w:keepLines w:val="0"/>
        <w:pageBreakBefore w:val="0"/>
        <w:widowControl w:val="0"/>
        <w:numPr>
          <w:ilvl w:val="0"/>
          <w:numId w:val="0"/>
        </w:numPr>
        <w:wordWrap/>
        <w:overflowPunct/>
        <w:topLinePunct w:val="0"/>
        <w:bidi w:val="0"/>
        <w:spacing w:beforeAutospacing="0" w:line="540" w:lineRule="exact"/>
        <w:ind w:leftChars="0" w:firstLine="642" w:firstLineChars="200"/>
        <w:jc w:val="left"/>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第三十六条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权益保护</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公民、法人和其他组织发现行政监督部门及其工作人员在公共资源交易信用管理活动中不依法履行义务，或在信用管理活动中侵犯其合法权益等违法行为，可以要求其依法予以纠正，或向其上级部门提出投诉。</w:t>
      </w:r>
    </w:p>
    <w:p>
      <w:pPr>
        <w:keepNext w:val="0"/>
        <w:keepLines w:val="0"/>
        <w:pageBreakBefore w:val="0"/>
        <w:widowControl w:val="0"/>
        <w:numPr>
          <w:ilvl w:val="0"/>
          <w:numId w:val="0"/>
        </w:numPr>
        <w:wordWrap/>
        <w:overflowPunct/>
        <w:topLinePunct w:val="0"/>
        <w:bidi w:val="0"/>
        <w:spacing w:beforeAutospacing="0" w:line="540" w:lineRule="exact"/>
        <w:ind w:leftChars="0" w:firstLine="646" w:firstLineChars="200"/>
        <w:jc w:val="left"/>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snapToGrid w:val="0"/>
          <w:color w:val="000000" w:themeColor="text1"/>
          <w:spacing w:val="1"/>
          <w:kern w:val="0"/>
          <w:sz w:val="32"/>
          <w:szCs w:val="32"/>
          <w:lang w:val="en-US" w:eastAsia="zh-Hans" w:bidi="ar-SA"/>
          <w14:textFill>
            <w14:solidFill>
              <w14:schemeClr w14:val="tx1"/>
            </w14:solidFill>
          </w14:textFill>
        </w:rPr>
        <w:t>第三十七条【社会监督】</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任何单位和个人发现公共</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资源交易平台</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公开的公共资源交易信用信息失实或虚假的，可以向公共资源交易平台运行服务机构反映，或直接向有关行政监督部门举报。</w:t>
      </w:r>
    </w:p>
    <w:p>
      <w:pPr>
        <w:keepNext w:val="0"/>
        <w:keepLines w:val="0"/>
        <w:pageBreakBefore w:val="0"/>
        <w:widowControl w:val="0"/>
        <w:numPr>
          <w:ilvl w:val="0"/>
          <w:numId w:val="0"/>
        </w:numPr>
        <w:wordWrap/>
        <w:overflowPunct/>
        <w:topLinePunct w:val="0"/>
        <w:bidi w:val="0"/>
        <w:spacing w:beforeAutospacing="0" w:line="540" w:lineRule="exact"/>
        <w:ind w:firstLine="640" w:firstLineChars="200"/>
        <w:jc w:val="left"/>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经调查核实反映和举报情况属实的，应及时纠正信息并公告调查处理结果。</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rPr>
          <w:rFonts w:hint="eastAsia" w:ascii="黑体" w:hAnsi="黑体" w:eastAsia="黑体" w:cs="黑体"/>
          <w:color w:val="000000" w:themeColor="text1"/>
          <w:kern w:val="2"/>
          <w:sz w:val="32"/>
          <w:szCs w:val="32"/>
          <w:lang w:val="en-US" w:eastAsia="zh-Hans" w:bidi="ar-SA"/>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第六章 法律责任</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第三十八条 【虚假信息责任】</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公共资源交易活动当事人提供虚假公共资源交易信用信息的，由有关行政监督部门依照有关规定予以处理。处理信息通过公共资源交易平台向社会公开。涉嫌犯罪的，依法移送司法机关处理。</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第三十九条 【评价应用责任】</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任何单位和个人滥用公共资源交易信用信息的、或将未公开的公共资源交易信用信息非法提供给第三方使用的，由其主管部门责令改正，并予以通报批评。涉嫌违纪违法的，依法追究直接责任人和有关领导的责任。涉嫌犯罪的，依法移送司法机关处理。</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第四十条 【维护单位责任】</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各级公共资源交易平台运行服务机构</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及其工作人员，在公共资源交易信用信息的归集、公开共享过程中存在弄虚作假、徇私舞弊的，由其主管部门责令改正，并予以通报批评。涉嫌违纪违法的，依法追究直接责任人和有关领导的责任。涉嫌犯罪的，依法移送司法机关处理。</w:t>
      </w:r>
    </w:p>
    <w:p>
      <w:pPr>
        <w:pStyle w:val="5"/>
        <w:keepNext w:val="0"/>
        <w:keepLines w:val="0"/>
        <w:pageBreakBefore w:val="0"/>
        <w:widowControl w:val="0"/>
        <w:wordWrap/>
        <w:overflowPunct/>
        <w:topLinePunct w:val="0"/>
        <w:bidi w:val="0"/>
        <w:spacing w:beforeAutospacing="0" w:after="0" w:line="540" w:lineRule="exact"/>
        <w:ind w:firstLine="642" w:firstLineChars="200"/>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第四十一条 【部门责任】</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各级公共资源交易行政监督部门及其工作人员在公共资源交易信用信息的记录、公开、共享和使用等工作中弄虚作假、徇私舞弊的，由其所在单位或上级主管机关责令改正，并予以通报批评。涉嫌违纪违法的，依法追究直接责任人和有关领导的责任。涉嫌犯罪的，依法移送司法机关处理。</w:t>
      </w:r>
    </w:p>
    <w:p>
      <w:pPr>
        <w:pStyle w:val="5"/>
        <w:keepNext w:val="0"/>
        <w:keepLines w:val="0"/>
        <w:pageBreakBefore w:val="0"/>
        <w:widowControl w:val="0"/>
        <w:numPr>
          <w:ilvl w:val="0"/>
          <w:numId w:val="0"/>
        </w:numPr>
        <w:wordWrap/>
        <w:overflowPunct/>
        <w:topLinePunct w:val="0"/>
        <w:bidi w:val="0"/>
        <w:spacing w:beforeAutospacing="0" w:after="0" w:line="540" w:lineRule="exact"/>
        <w:jc w:val="center"/>
        <w:rPr>
          <w:rFonts w:hint="eastAsia" w:ascii="仿宋_GB2312" w:hAnsi="仿宋_GB2312" w:eastAsia="仿宋_GB2312" w:cs="仿宋_GB2312"/>
          <w:b/>
          <w:bCs/>
          <w:color w:val="000000" w:themeColor="text1"/>
          <w:spacing w:val="1"/>
          <w:sz w:val="32"/>
          <w:szCs w:val="32"/>
          <w:lang w:val="en-US" w:eastAsia="zh-Hans"/>
          <w14:textFill>
            <w14:solidFill>
              <w14:schemeClr w14:val="tx1"/>
            </w14:solidFill>
          </w14:textFill>
        </w:rPr>
      </w:pPr>
      <w:r>
        <w:rPr>
          <w:rFonts w:hint="eastAsia" w:ascii="黑体" w:hAnsi="黑体" w:eastAsia="黑体" w:cs="黑体"/>
          <w:color w:val="000000" w:themeColor="text1"/>
          <w:kern w:val="2"/>
          <w:sz w:val="32"/>
          <w:szCs w:val="32"/>
          <w:lang w:val="en-US" w:eastAsia="zh-Hans" w:bidi="ar-SA"/>
          <w14:textFill>
            <w14:solidFill>
              <w14:schemeClr w14:val="tx1"/>
            </w14:solidFill>
          </w14:textFill>
        </w:rPr>
        <w:t>第七章 附则</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line="540" w:lineRule="exact"/>
        <w:ind w:firstLine="642" w:firstLineChars="200"/>
        <w:jc w:val="both"/>
        <w:textAlignment w:val="auto"/>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第四十二条【动态调整】</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本办法及《信用信息评价标准》根据国家发布的公共资源交易信用评价指标和标准，结合本省实际，进行动态调整并及时公布。</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line="540" w:lineRule="exact"/>
        <w:ind w:firstLine="64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第四十三条【其他责任】</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法</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律、法规、规章另有规定的，从其规定。</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line="540" w:lineRule="exact"/>
        <w:ind w:firstLine="64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第四十四条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解释部门】</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本</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办法由陕西省发展改革</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部门</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负责解释。</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line="540" w:lineRule="exact"/>
        <w:ind w:firstLine="64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第四十五条</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施行时间】</w:t>
      </w:r>
      <w:r>
        <w:rPr>
          <w:rFonts w:hint="eastAsia" w:ascii="仿宋_GB2312" w:hAnsi="仿宋_GB2312" w:eastAsia="仿宋_GB2312" w:cs="仿宋_GB2312"/>
          <w:b w:val="0"/>
          <w:bCs w:val="0"/>
          <w:color w:val="000000" w:themeColor="text1"/>
          <w:kern w:val="2"/>
          <w:sz w:val="32"/>
          <w:szCs w:val="32"/>
          <w:lang w:val="en-US" w:eastAsia="zh-Hans" w:bidi="ar-SA"/>
          <w14:textFill>
            <w14:solidFill>
              <w14:schemeClr w14:val="tx1"/>
            </w14:solidFill>
          </w14:textFill>
        </w:rPr>
        <w:t>本办法自   年  月  日起施行。</w:t>
      </w:r>
    </w:p>
    <w:p>
      <w:pPr>
        <w:pStyle w:val="5"/>
        <w:keepNext w:val="0"/>
        <w:keepLines w:val="0"/>
        <w:pageBreakBefore w:val="0"/>
        <w:widowControl w:val="0"/>
        <w:numPr>
          <w:ilvl w:val="0"/>
          <w:numId w:val="0"/>
        </w:numPr>
        <w:wordWrap/>
        <w:overflowPunct/>
        <w:topLinePunct w:val="0"/>
        <w:bidi w:val="0"/>
        <w:spacing w:after="120" w:line="360" w:lineRule="auto"/>
        <w:jc w:val="both"/>
        <w:rPr>
          <w:rFonts w:hint="eastAsia" w:ascii="仿宋_GB2312" w:hAnsi="仿宋_GB2312" w:eastAsia="仿宋_GB2312" w:cs="仿宋_GB2312"/>
          <w:color w:val="000000" w:themeColor="text1"/>
          <w:sz w:val="32"/>
          <w:szCs w:val="32"/>
          <w14:textFill>
            <w14:solidFill>
              <w14:schemeClr w14:val="tx1"/>
            </w14:solidFill>
          </w14:textFill>
        </w:rPr>
      </w:pPr>
    </w:p>
    <w:p>
      <w:pPr>
        <w:pStyle w:val="5"/>
        <w:jc w:val="both"/>
        <w:rPr>
          <w:rFonts w:hint="eastAsia"/>
          <w:b/>
          <w:bCs/>
          <w:color w:val="000000" w:themeColor="text1"/>
          <w:sz w:val="36"/>
          <w:szCs w:val="36"/>
          <w:lang w:val="en-US" w:eastAsia="zh-Hans"/>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pStyle w:val="5"/>
        <w:jc w:val="both"/>
        <w:rPr>
          <w:rFonts w:hint="eastAsia" w:eastAsiaTheme="minor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Hans"/>
          <w14:textFill>
            <w14:solidFill>
              <w14:schemeClr w14:val="tx1"/>
            </w14:solidFill>
          </w14:textFill>
        </w:rPr>
        <w:t>附件</w:t>
      </w:r>
      <w:r>
        <w:rPr>
          <w:rFonts w:hint="default"/>
          <w:b/>
          <w:bCs/>
          <w:color w:val="000000" w:themeColor="text1"/>
          <w:sz w:val="36"/>
          <w:szCs w:val="36"/>
          <w:lang w:eastAsia="zh-Hans"/>
          <w14:textFill>
            <w14:solidFill>
              <w14:schemeClr w14:val="tx1"/>
            </w14:solidFill>
          </w14:textFill>
        </w:rPr>
        <w:t xml:space="preserve">    </w:t>
      </w:r>
      <w:r>
        <w:rPr>
          <w:rFonts w:hint="eastAsia"/>
          <w:b/>
          <w:bCs/>
          <w:color w:val="000000" w:themeColor="text1"/>
          <w:sz w:val="36"/>
          <w:szCs w:val="36"/>
          <w:lang w:val="en-US" w:eastAsia="zh-CN"/>
          <w14:textFill>
            <w14:solidFill>
              <w14:schemeClr w14:val="tx1"/>
            </w14:solidFill>
          </w14:textFill>
        </w:rPr>
        <w:t xml:space="preserve">           </w:t>
      </w:r>
      <w:r>
        <w:rPr>
          <w:rFonts w:hint="eastAsia"/>
          <w:b/>
          <w:bCs/>
          <w:color w:val="000000" w:themeColor="text1"/>
          <w:sz w:val="36"/>
          <w:szCs w:val="36"/>
          <w:lang w:val="en-US" w:eastAsia="zh-Hans"/>
          <w14:textFill>
            <w14:solidFill>
              <w14:schemeClr w14:val="tx1"/>
            </w14:solidFill>
          </w14:textFill>
        </w:rPr>
        <w:t>陕西省公共资源交易行为信用信息评价标准</w:t>
      </w:r>
    </w:p>
    <w:p>
      <w:pPr>
        <w:pStyle w:val="5"/>
        <w:jc w:val="center"/>
        <w:rPr>
          <w:rFonts w:hint="eastAsia"/>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1.</w:t>
      </w:r>
      <w:r>
        <w:rPr>
          <w:rFonts w:hint="eastAsia"/>
          <w:b/>
          <w:bCs/>
          <w:color w:val="000000" w:themeColor="text1"/>
          <w:sz w:val="28"/>
          <w:szCs w:val="28"/>
          <w14:textFill>
            <w14:solidFill>
              <w14:schemeClr w14:val="tx1"/>
            </w14:solidFill>
          </w14:textFill>
        </w:rPr>
        <w:t>招标人</w:t>
      </w:r>
      <w:r>
        <w:rPr>
          <w:rFonts w:hint="default"/>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采购人</w:t>
      </w:r>
      <w:r>
        <w:rPr>
          <w:rFonts w:hint="default"/>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及</w:t>
      </w:r>
      <w:r>
        <w:rPr>
          <w:rFonts w:hint="eastAsia"/>
          <w:b/>
          <w:bCs/>
          <w:color w:val="000000" w:themeColor="text1"/>
          <w:sz w:val="28"/>
          <w:szCs w:val="28"/>
          <w:lang w:val="en-US" w:eastAsia="zh-Hans"/>
          <w14:textFill>
            <w14:solidFill>
              <w14:schemeClr w14:val="tx1"/>
            </w14:solidFill>
          </w14:textFill>
        </w:rPr>
        <w:t>其</w:t>
      </w:r>
      <w:r>
        <w:rPr>
          <w:rFonts w:hint="eastAsia"/>
          <w:b/>
          <w:bCs/>
          <w:color w:val="000000" w:themeColor="text1"/>
          <w:sz w:val="28"/>
          <w:szCs w:val="28"/>
          <w14:textFill>
            <w14:solidFill>
              <w14:schemeClr w14:val="tx1"/>
            </w14:solidFill>
          </w14:textFill>
        </w:rPr>
        <w:t>从业人员信用信息记录量化记分标准</w:t>
      </w:r>
    </w:p>
    <w:tbl>
      <w:tblPr>
        <w:tblStyle w:val="10"/>
        <w:tblW w:w="13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9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92"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05"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4" w:type="dxa"/>
            <w:gridSpan w:val="3"/>
            <w:vAlign w:val="bottom"/>
          </w:tcPr>
          <w:p>
            <w:pPr>
              <w:pStyle w:val="5"/>
              <w:jc w:val="center"/>
              <w:rPr>
                <w:rFonts w:hint="default"/>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92"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92"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92" w:type="dxa"/>
            <w:vAlign w:val="top"/>
          </w:tcPr>
          <w:p>
            <w:pPr>
              <w:pStyle w:val="12"/>
              <w:spacing w:before="44" w:line="223" w:lineRule="auto"/>
              <w:rPr>
                <w:rFonts w:hint="eastAsia" w:ascii="仿宋" w:hAnsi="仿宋" w:eastAsia="仿宋" w:cs="仿宋"/>
                <w:color w:val="000000" w:themeColor="text1"/>
                <w:kern w:val="2"/>
                <w:sz w:val="20"/>
                <w:szCs w:val="20"/>
                <w:lang w:val="en-US" w:eastAsia="zh-Hans" w:bidi="ar-SA"/>
                <w14:textFill>
                  <w14:solidFill>
                    <w14:schemeClr w14:val="tx1"/>
                  </w14:solidFill>
                </w14:textFill>
              </w:rPr>
            </w:pPr>
            <w:r>
              <w:rPr>
                <w:color w:val="000000" w:themeColor="text1"/>
                <w:spacing w:val="9"/>
                <w14:textFill>
                  <w14:solidFill>
                    <w14:schemeClr w14:val="tx1"/>
                  </w14:solidFill>
                </w14:textFill>
              </w:rPr>
              <w:t>依法公开招标的项目，不按照规定在指定媒介发布资格预审公告或者招标公告。</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92" w:type="dxa"/>
            <w:vAlign w:val="top"/>
          </w:tcPr>
          <w:p>
            <w:pPr>
              <w:pStyle w:val="12"/>
              <w:spacing w:before="59" w:line="223"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在不同媒介发布的同一招标项目的资格预审公告或者招标公告的内容不一致。</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92" w:type="dxa"/>
            <w:vAlign w:val="top"/>
          </w:tcPr>
          <w:p>
            <w:pPr>
              <w:pStyle w:val="12"/>
              <w:spacing w:before="29" w:line="226" w:lineRule="auto"/>
              <w:ind w:right="92" w:rightChars="0"/>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依法必须招标的项目，不按规定使用发展改革部门、有关行政监督部门制定的标准文本或者示范文本</w:t>
            </w:r>
            <w:r>
              <w:rPr>
                <w:color w:val="000000" w:themeColor="text1"/>
                <w:spacing w:val="8"/>
                <w14:textFill>
                  <w14:solidFill>
                    <w14:schemeClr w14:val="tx1"/>
                  </w14:solidFill>
                </w14:textFill>
              </w:rPr>
              <w:t>来编制资格预审文件、招标文件。</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92" w:type="dxa"/>
            <w:vAlign w:val="top"/>
          </w:tcPr>
          <w:p>
            <w:pPr>
              <w:pStyle w:val="12"/>
              <w:spacing w:before="14" w:line="226" w:lineRule="auto"/>
              <w:ind w:right="46" w:rightChars="0"/>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不按资格预审公告、招标公告或者投标邀请书规定的时间、地点发售资格预审文件或者招标文件。</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92" w:type="dxa"/>
            <w:vAlign w:val="top"/>
          </w:tcPr>
          <w:p>
            <w:pPr>
              <w:pStyle w:val="12"/>
              <w:spacing w:before="61" w:line="223"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对已发出的资格预审文件或者招标文件进行必要的澄清或者修改，澄清或者修改的内容可能影响资格预审申请文件或者</w:t>
            </w:r>
            <w:r>
              <w:rPr>
                <w:color w:val="000000" w:themeColor="text1"/>
                <w:spacing w:val="5"/>
                <w14:textFill>
                  <w14:solidFill>
                    <w14:schemeClr w14:val="tx1"/>
                  </w14:solidFill>
                </w14:textFill>
              </w:rPr>
              <w:t>招标文件编制、距提交资格预审申请文件截止时间不足</w:t>
            </w:r>
            <w:r>
              <w:rPr>
                <w:color w:val="000000" w:themeColor="text1"/>
                <w:spacing w:val="-19"/>
                <w14:textFill>
                  <w14:solidFill>
                    <w14:schemeClr w14:val="tx1"/>
                  </w14:solidFill>
                </w14:textFill>
              </w:rPr>
              <w:t xml:space="preserve"> </w:t>
            </w:r>
            <w:r>
              <w:rPr>
                <w:color w:val="000000" w:themeColor="text1"/>
                <w:spacing w:val="5"/>
                <w14:textFill>
                  <w14:solidFill>
                    <w14:schemeClr w14:val="tx1"/>
                  </w14:solidFill>
                </w14:textFill>
              </w:rPr>
              <w:t>3日或者距投标截止时间不足</w:t>
            </w:r>
            <w:r>
              <w:rPr>
                <w:color w:val="000000" w:themeColor="text1"/>
                <w:spacing w:val="-21"/>
                <w14:textFill>
                  <w14:solidFill>
                    <w14:schemeClr w14:val="tx1"/>
                  </w14:solidFill>
                </w14:textFill>
              </w:rPr>
              <w:t xml:space="preserve"> </w:t>
            </w:r>
            <w:r>
              <w:rPr>
                <w:color w:val="000000" w:themeColor="text1"/>
                <w:spacing w:val="5"/>
                <w14:textFill>
                  <w14:solidFill>
                    <w14:schemeClr w14:val="tx1"/>
                  </w14:solidFill>
                </w14:textFill>
              </w:rPr>
              <w:t>15日，不对提交资格预审申请文</w:t>
            </w:r>
            <w:r>
              <w:rPr>
                <w:color w:val="000000" w:themeColor="text1"/>
                <w:spacing w:val="8"/>
                <w14:textFill>
                  <w14:solidFill>
                    <w14:schemeClr w14:val="tx1"/>
                  </w14:solidFill>
                </w14:textFill>
              </w:rPr>
              <w:t>件或者招标文件的截止时间延期的。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92" w:type="dxa"/>
            <w:vAlign w:val="top"/>
          </w:tcPr>
          <w:p>
            <w:pPr>
              <w:pStyle w:val="12"/>
              <w:spacing w:before="62" w:line="224"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不在法定时限内对投标人或其他利害关系人提出的异议</w:t>
            </w:r>
            <w:r>
              <w:rPr>
                <w:color w:val="000000" w:themeColor="text1"/>
                <w:spacing w:val="8"/>
                <w14:textFill>
                  <w14:solidFill>
                    <w14:schemeClr w14:val="tx1"/>
                  </w14:solidFill>
                </w14:textFill>
              </w:rPr>
              <w:t>作出答复的。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92" w:type="dxa"/>
            <w:vAlign w:val="top"/>
          </w:tcPr>
          <w:p>
            <w:pPr>
              <w:pStyle w:val="12"/>
              <w:spacing w:before="63" w:line="224"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未完整记录开标情况影响投诉调查处理或者案件查办。</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92" w:type="dxa"/>
            <w:vAlign w:val="top"/>
          </w:tcPr>
          <w:p>
            <w:pPr>
              <w:pStyle w:val="12"/>
              <w:spacing w:before="49" w:line="223"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评标委员会的专家成员不从依法组建的</w:t>
            </w:r>
            <w:r>
              <w:rPr>
                <w:color w:val="000000" w:themeColor="text1"/>
                <w:spacing w:val="9"/>
                <w14:textFill>
                  <w14:solidFill>
                    <w14:schemeClr w14:val="tx1"/>
                  </w14:solidFill>
                </w14:textFill>
              </w:rPr>
              <w:t>评标专家库内相关专业的专家中以随机抽取方</w:t>
            </w:r>
            <w:r>
              <w:rPr>
                <w:color w:val="000000" w:themeColor="text1"/>
                <w:spacing w:val="2"/>
                <w14:textFill>
                  <w14:solidFill>
                    <w14:schemeClr w14:val="tx1"/>
                  </w14:solidFill>
                </w14:textFill>
              </w:rPr>
              <w:t>式确定。</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92" w:type="dxa"/>
            <w:vAlign w:val="top"/>
          </w:tcPr>
          <w:p>
            <w:pPr>
              <w:pStyle w:val="12"/>
              <w:spacing w:before="17" w:line="228" w:lineRule="auto"/>
              <w:ind w:right="89" w:rightChars="0"/>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不按照招标文件规定的时间、地点开标。</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92" w:type="dxa"/>
            <w:vAlign w:val="top"/>
          </w:tcPr>
          <w:p>
            <w:pPr>
              <w:pStyle w:val="12"/>
              <w:spacing w:before="65" w:line="223"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不配合投诉调查处理或者案件查办。</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92" w:type="dxa"/>
            <w:vAlign w:val="top"/>
          </w:tcPr>
          <w:p>
            <w:pPr>
              <w:pStyle w:val="12"/>
              <w:spacing w:before="14" w:line="226" w:lineRule="auto"/>
              <w:ind w:right="107" w:rightChars="0"/>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9"/>
                <w:lang w:val="en-US" w:eastAsia="zh-CN"/>
                <w14:textFill>
                  <w14:solidFill>
                    <w14:schemeClr w14:val="tx1"/>
                  </w14:solidFill>
                </w14:textFill>
              </w:rPr>
              <w:t>项目发起方</w:t>
            </w:r>
            <w:r>
              <w:rPr>
                <w:color w:val="000000" w:themeColor="text1"/>
                <w:spacing w:val="9"/>
                <w14:textFill>
                  <w14:solidFill>
                    <w14:schemeClr w14:val="tx1"/>
                  </w14:solidFill>
                </w14:textFill>
              </w:rPr>
              <w:t>在收到评审报告之日起，未在规定时间内在评审报告推荐的中标或者成交候选</w:t>
            </w:r>
            <w:r>
              <w:rPr>
                <w:color w:val="000000" w:themeColor="text1"/>
                <w:spacing w:val="8"/>
                <w14:textFill>
                  <w14:solidFill>
                    <w14:schemeClr w14:val="tx1"/>
                  </w14:solidFill>
                </w14:textFill>
              </w:rPr>
              <w:t>人中按</w:t>
            </w:r>
            <w:r>
              <w:rPr>
                <w:rFonts w:hint="eastAsia"/>
                <w:color w:val="000000" w:themeColor="text1"/>
                <w:spacing w:val="8"/>
                <w:lang w:eastAsia="zh-CN"/>
                <w14:textFill>
                  <w14:solidFill>
                    <w14:schemeClr w14:val="tx1"/>
                  </w14:solidFill>
                </w14:textFill>
              </w:rPr>
              <w:t>招标文件</w:t>
            </w:r>
            <w:r>
              <w:rPr>
                <w:color w:val="000000" w:themeColor="text1"/>
                <w:spacing w:val="8"/>
                <w14:textFill>
                  <w14:solidFill>
                    <w14:schemeClr w14:val="tx1"/>
                  </w14:solidFill>
                </w14:textFill>
              </w:rPr>
              <w:t>确定中标或者成交供应</w:t>
            </w:r>
            <w:r>
              <w:rPr>
                <w:color w:val="000000" w:themeColor="text1"/>
                <w:spacing w:val="-6"/>
                <w14:textFill>
                  <w14:solidFill>
                    <w14:schemeClr w14:val="tx1"/>
                  </w14:solidFill>
                </w14:textFill>
              </w:rPr>
              <w:t>商。</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92" w:type="dxa"/>
            <w:vAlign w:val="top"/>
          </w:tcPr>
          <w:p>
            <w:pPr>
              <w:pStyle w:val="12"/>
              <w:spacing w:before="66" w:line="226" w:lineRule="auto"/>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w:t>
            </w:r>
            <w:r>
              <w:rPr>
                <w:rFonts w:hint="eastAsia"/>
                <w:color w:val="000000" w:themeColor="text1"/>
                <w:spacing w:val="13"/>
                <w:lang w:eastAsia="zh-CN"/>
                <w14:textFill>
                  <w14:solidFill>
                    <w14:schemeClr w14:val="tx1"/>
                  </w14:solidFill>
                </w14:textFill>
              </w:rPr>
              <w:t>项目发起方</w:t>
            </w:r>
            <w:r>
              <w:rPr>
                <w:color w:val="000000" w:themeColor="text1"/>
                <w:spacing w:val="8"/>
                <w14:textFill>
                  <w14:solidFill>
                    <w14:schemeClr w14:val="tx1"/>
                  </w14:solidFill>
                </w14:textFill>
              </w:rPr>
              <w:t>一般不良行为的。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4" w:type="dxa"/>
            <w:gridSpan w:val="3"/>
            <w:vAlign w:val="bottom"/>
          </w:tcPr>
          <w:p>
            <w:pPr>
              <w:pStyle w:val="5"/>
              <w:jc w:val="center"/>
              <w:rPr>
                <w:rFonts w:hint="default" w:ascii="仿宋" w:hAnsi="仿宋" w:eastAsia="仿宋" w:cs="仿宋"/>
                <w:color w:val="000000" w:themeColor="text1"/>
                <w:spacing w:val="8"/>
                <w:kern w:val="2"/>
                <w:sz w:val="20"/>
                <w:szCs w:val="20"/>
                <w:lang w:val="en-US" w:eastAsia="zh-Han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92" w:type="dxa"/>
            <w:vAlign w:val="top"/>
          </w:tcPr>
          <w:p>
            <w:pPr>
              <w:pStyle w:val="12"/>
              <w:spacing w:before="63" w:line="223" w:lineRule="auto"/>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9"/>
                <w14:textFill>
                  <w14:solidFill>
                    <w14:schemeClr w14:val="tx1"/>
                  </w14:solidFill>
                </w14:textFill>
              </w:rPr>
              <w:t>在开展交易活动过程中进行容缺承诺，未按承诺补</w:t>
            </w:r>
            <w:r>
              <w:rPr>
                <w:color w:val="000000" w:themeColor="text1"/>
                <w:spacing w:val="8"/>
                <w14:textFill>
                  <w14:solidFill>
                    <w14:schemeClr w14:val="tx1"/>
                  </w14:solidFill>
                </w14:textFill>
              </w:rPr>
              <w:t>齐资料的。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92" w:type="dxa"/>
            <w:vAlign w:val="top"/>
          </w:tcPr>
          <w:p>
            <w:pPr>
              <w:pStyle w:val="12"/>
              <w:spacing w:before="64" w:line="225" w:lineRule="auto"/>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position w:val="1"/>
                <w14:textFill>
                  <w14:solidFill>
                    <w14:schemeClr w14:val="tx1"/>
                  </w14:solidFill>
                </w14:textFill>
              </w:rPr>
              <w:t>依法应当公开招标而擅</w:t>
            </w:r>
            <w:r>
              <w:rPr>
                <w:rFonts w:hint="eastAsia"/>
                <w:color w:val="000000" w:themeColor="text1"/>
                <w:spacing w:val="8"/>
                <w:position w:val="1"/>
                <w:lang w:val="en-US" w:eastAsia="zh-Hans"/>
                <w14:textFill>
                  <w14:solidFill>
                    <w14:schemeClr w14:val="tx1"/>
                  </w14:solidFill>
                </w14:textFill>
              </w:rPr>
              <w:t>自采</w:t>
            </w:r>
            <w:r>
              <w:rPr>
                <w:color w:val="000000" w:themeColor="text1"/>
                <w:spacing w:val="8"/>
                <w:position w:val="1"/>
                <w14:textFill>
                  <w14:solidFill>
                    <w14:schemeClr w14:val="tx1"/>
                  </w14:solidFill>
                </w14:textFill>
              </w:rPr>
              <w:t>用邀请招标。</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92" w:type="dxa"/>
            <w:vAlign w:val="top"/>
          </w:tcPr>
          <w:p>
            <w:pPr>
              <w:pStyle w:val="12"/>
              <w:spacing w:before="63" w:line="225" w:lineRule="auto"/>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不按项目审批、核准部门审批、核准所确定的招标范围、招标方式、招标组织形式进行招标。</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92" w:type="dxa"/>
            <w:vAlign w:val="top"/>
          </w:tcPr>
          <w:p>
            <w:pPr>
              <w:pStyle w:val="12"/>
              <w:tabs>
                <w:tab w:val="left" w:pos="3157"/>
              </w:tabs>
              <w:spacing w:before="63" w:line="225" w:lineRule="auto"/>
              <w:rPr>
                <w:rFonts w:hint="default" w:eastAsia="仿宋"/>
                <w:color w:val="000000" w:themeColor="text1"/>
                <w:spacing w:val="9"/>
                <w:lang w:eastAsia="zh-Hans"/>
                <w14:textFill>
                  <w14:solidFill>
                    <w14:schemeClr w14:val="tx1"/>
                  </w14:solidFill>
                </w14:textFill>
              </w:rPr>
            </w:pPr>
            <w:r>
              <w:rPr>
                <w:rFonts w:hint="eastAsia"/>
                <w:color w:val="000000" w:themeColor="text1"/>
                <w:spacing w:val="9"/>
                <w:lang w:val="en-US" w:eastAsia="zh-CN"/>
                <w14:textFill>
                  <w14:solidFill>
                    <w14:schemeClr w14:val="tx1"/>
                  </w14:solidFill>
                </w14:textFill>
              </w:rPr>
              <w:t>项目发起方</w:t>
            </w:r>
            <w:r>
              <w:rPr>
                <w:rFonts w:hint="eastAsia"/>
                <w:color w:val="000000" w:themeColor="text1"/>
                <w:spacing w:val="9"/>
                <w:lang w:val="en-US" w:eastAsia="zh-Hans"/>
                <w14:textFill>
                  <w14:solidFill>
                    <w14:schemeClr w14:val="tx1"/>
                  </w14:solidFill>
                </w14:textFill>
              </w:rPr>
              <w:t>与投标人</w:t>
            </w:r>
            <w:r>
              <w:rPr>
                <w:rFonts w:hint="default"/>
                <w:color w:val="000000" w:themeColor="text1"/>
                <w:spacing w:val="9"/>
                <w:lang w:eastAsia="zh-Hans"/>
                <w14:textFill>
                  <w14:solidFill>
                    <w14:schemeClr w14:val="tx1"/>
                  </w14:solidFill>
                </w14:textFill>
              </w:rPr>
              <w:t>（</w:t>
            </w:r>
            <w:r>
              <w:rPr>
                <w:rFonts w:hint="eastAsia"/>
                <w:color w:val="000000" w:themeColor="text1"/>
                <w:spacing w:val="9"/>
                <w:lang w:val="en-US" w:eastAsia="zh-Hans"/>
                <w14:textFill>
                  <w14:solidFill>
                    <w14:schemeClr w14:val="tx1"/>
                  </w14:solidFill>
                </w14:textFill>
              </w:rPr>
              <w:t>供应商</w:t>
            </w:r>
            <w:r>
              <w:rPr>
                <w:rFonts w:hint="default"/>
                <w:color w:val="000000" w:themeColor="text1"/>
                <w:spacing w:val="9"/>
                <w:lang w:eastAsia="zh-Hans"/>
                <w14:textFill>
                  <w14:solidFill>
                    <w14:schemeClr w14:val="tx1"/>
                  </w14:solidFill>
                </w14:textFill>
              </w:rPr>
              <w:t>）</w:t>
            </w:r>
            <w:r>
              <w:rPr>
                <w:rFonts w:hint="eastAsia"/>
                <w:color w:val="000000" w:themeColor="text1"/>
                <w:spacing w:val="9"/>
                <w:lang w:val="en-US" w:eastAsia="zh-Hans"/>
                <w14:textFill>
                  <w14:solidFill>
                    <w14:schemeClr w14:val="tx1"/>
                  </w14:solidFill>
                </w14:textFill>
              </w:rPr>
              <w:t>有利害关系不依法回避</w:t>
            </w:r>
            <w:r>
              <w:rPr>
                <w:rFonts w:hint="default"/>
                <w:color w:val="000000" w:themeColor="text1"/>
                <w:spacing w:val="9"/>
                <w:lang w:eastAsia="zh-Hans"/>
                <w14:textFill>
                  <w14:solidFill>
                    <w14:schemeClr w14:val="tx1"/>
                  </w14:solidFill>
                </w14:textFill>
              </w:rPr>
              <w:t>。</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92" w:type="dxa"/>
            <w:vAlign w:val="top"/>
          </w:tcPr>
          <w:p>
            <w:pPr>
              <w:pStyle w:val="12"/>
              <w:spacing w:before="20" w:line="223" w:lineRule="auto"/>
              <w:ind w:right="151" w:rightChars="0"/>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7"/>
                <w14:textFill>
                  <w14:solidFill>
                    <w14:schemeClr w14:val="tx1"/>
                  </w14:solidFill>
                </w14:textFill>
              </w:rPr>
              <w:t>无正当理由不发出中标通知书。</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92" w:type="dxa"/>
            <w:vAlign w:val="top"/>
          </w:tcPr>
          <w:p>
            <w:pPr>
              <w:pStyle w:val="12"/>
              <w:spacing w:before="43" w:line="226" w:lineRule="auto"/>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中标通知书发出后无正当理由改变中标结果。</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92" w:type="dxa"/>
            <w:vAlign w:val="top"/>
          </w:tcPr>
          <w:p>
            <w:pPr>
              <w:pStyle w:val="12"/>
              <w:spacing w:before="43" w:line="228" w:lineRule="auto"/>
              <w:rPr>
                <w:rFonts w:hint="default" w:ascii="仿宋" w:hAnsi="仿宋" w:eastAsia="仿宋" w:cs="仿宋"/>
                <w:color w:val="000000" w:themeColor="text1"/>
                <w:kern w:val="2"/>
                <w:sz w:val="20"/>
                <w:szCs w:val="20"/>
                <w:lang w:val="en-US" w:eastAsia="zh-Hans" w:bidi="ar-SA"/>
                <w14:textFill>
                  <w14:solidFill>
                    <w14:schemeClr w14:val="tx1"/>
                  </w14:solidFill>
                </w14:textFill>
              </w:rPr>
            </w:pPr>
            <w:r>
              <w:rPr>
                <w:color w:val="000000" w:themeColor="text1"/>
                <w:spacing w:val="6"/>
                <w14:textFill>
                  <w14:solidFill>
                    <w14:schemeClr w14:val="tx1"/>
                  </w14:solidFill>
                </w14:textFill>
              </w:rPr>
              <w:t>拒绝签订合同。</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92" w:type="dxa"/>
            <w:vAlign w:val="top"/>
          </w:tcPr>
          <w:p>
            <w:pPr>
              <w:pStyle w:val="12"/>
              <w:spacing w:before="44" w:line="223" w:lineRule="auto"/>
              <w:rPr>
                <w:rFonts w:hint="default" w:ascii="仿宋" w:hAnsi="仿宋" w:eastAsia="仿宋" w:cs="仿宋"/>
                <w:color w:val="000000" w:themeColor="text1"/>
                <w:kern w:val="2"/>
                <w:sz w:val="20"/>
                <w:szCs w:val="20"/>
                <w:lang w:val="en-US" w:eastAsia="zh-Hans" w:bidi="ar-SA"/>
                <w14:textFill>
                  <w14:solidFill>
                    <w14:schemeClr w14:val="tx1"/>
                  </w14:solidFill>
                </w14:textFill>
              </w:rPr>
            </w:pPr>
            <w:r>
              <w:rPr>
                <w:color w:val="000000" w:themeColor="text1"/>
                <w:spacing w:val="8"/>
                <w14:textFill>
                  <w14:solidFill>
                    <w14:schemeClr w14:val="tx1"/>
                  </w14:solidFill>
                </w14:textFill>
              </w:rPr>
              <w:t>在签订合同时向中标人提出附加</w:t>
            </w:r>
            <w:r>
              <w:rPr>
                <w:rFonts w:hint="eastAsia"/>
                <w:color w:val="000000" w:themeColor="text1"/>
                <w:spacing w:val="8"/>
                <w:lang w:eastAsia="zh-CN"/>
                <w14:textFill>
                  <w14:solidFill>
                    <w14:schemeClr w14:val="tx1"/>
                  </w14:solidFill>
                </w14:textFill>
              </w:rPr>
              <w:t>不合理</w:t>
            </w:r>
            <w:r>
              <w:rPr>
                <w:color w:val="000000" w:themeColor="text1"/>
                <w:spacing w:val="8"/>
                <w14:textFill>
                  <w14:solidFill>
                    <w14:schemeClr w14:val="tx1"/>
                  </w14:solidFill>
                </w14:textFill>
              </w:rPr>
              <w:t>条件。</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92" w:type="dxa"/>
            <w:vAlign w:val="center"/>
          </w:tcPr>
          <w:p>
            <w:pPr>
              <w:pStyle w:val="12"/>
              <w:spacing w:before="59"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7"/>
                <w14:textFill>
                  <w14:solidFill>
                    <w14:schemeClr w14:val="tx1"/>
                  </w14:solidFill>
                </w14:textFill>
              </w:rPr>
              <w:t>擅自中止、终止招标。</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92" w:type="dxa"/>
            <w:vAlign w:val="center"/>
          </w:tcPr>
          <w:p>
            <w:pPr>
              <w:pStyle w:val="12"/>
              <w:spacing w:before="59"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9"/>
                <w14:textFill>
                  <w14:solidFill>
                    <w14:schemeClr w14:val="tx1"/>
                  </w14:solidFill>
                </w14:textFill>
              </w:rPr>
              <w:t>在有关部门处理投诉、查办案件调查有关情况时，提供虚假情况或者作伪证。</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92" w:type="dxa"/>
            <w:vAlign w:val="center"/>
          </w:tcPr>
          <w:p>
            <w:pPr>
              <w:pStyle w:val="12"/>
              <w:spacing w:before="59" w:line="223" w:lineRule="auto"/>
              <w:jc w:val="both"/>
              <w:rPr>
                <w:color w:val="000000" w:themeColor="text1"/>
                <w:spacing w:val="9"/>
                <w14:textFill>
                  <w14:solidFill>
                    <w14:schemeClr w14:val="tx1"/>
                  </w14:solidFill>
                </w14:textFill>
              </w:rPr>
            </w:pPr>
            <w:r>
              <w:rPr>
                <w:color w:val="000000" w:themeColor="text1"/>
                <w:spacing w:val="13"/>
                <w14:textFill>
                  <w14:solidFill>
                    <w14:schemeClr w14:val="tx1"/>
                  </w14:solidFill>
                </w14:textFill>
              </w:rPr>
              <w:t>其他依法应列为</w:t>
            </w:r>
            <w:r>
              <w:rPr>
                <w:rFonts w:hint="eastAsia"/>
                <w:color w:val="000000" w:themeColor="text1"/>
                <w:spacing w:val="13"/>
                <w:lang w:eastAsia="zh-CN"/>
                <w14:textFill>
                  <w14:solidFill>
                    <w14:schemeClr w14:val="tx1"/>
                  </w14:solidFill>
                </w14:textFill>
              </w:rPr>
              <w:t>项目发起方</w:t>
            </w:r>
            <w:r>
              <w:rPr>
                <w:rFonts w:hint="eastAsia"/>
                <w:color w:val="000000" w:themeColor="text1"/>
                <w:spacing w:val="13"/>
                <w:lang w:val="en-US" w:eastAsia="zh-Hans"/>
                <w14:textFill>
                  <w14:solidFill>
                    <w14:schemeClr w14:val="tx1"/>
                  </w14:solidFill>
                </w14:textFill>
              </w:rPr>
              <w:t>较重</w:t>
            </w:r>
            <w:r>
              <w:rPr>
                <w:color w:val="000000" w:themeColor="text1"/>
                <w:spacing w:val="13"/>
                <w14:textFill>
                  <w14:solidFill>
                    <w14:schemeClr w14:val="tx1"/>
                  </w14:solidFill>
                </w14:textFill>
              </w:rPr>
              <w:t>不良行为的。</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92" w:type="dxa"/>
            <w:vAlign w:val="center"/>
          </w:tcPr>
          <w:p>
            <w:pPr>
              <w:pStyle w:val="12"/>
              <w:spacing w:before="63" w:line="223" w:lineRule="auto"/>
              <w:jc w:val="left"/>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泄露标底或者向他人透露可能影响公平竞争的其他情况</w:t>
            </w:r>
            <w:r>
              <w:rPr>
                <w:rFonts w:hint="default"/>
                <w:color w:val="000000" w:themeColor="text1"/>
                <w:spacing w:val="8"/>
                <w14:textFill>
                  <w14:solidFill>
                    <w14:schemeClr w14:val="tx1"/>
                  </w14:solidFill>
                </w14:textFill>
              </w:rPr>
              <w:t>。</w:t>
            </w:r>
          </w:p>
        </w:tc>
        <w:tc>
          <w:tcPr>
            <w:tcW w:w="1805"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92" w:type="dxa"/>
            <w:vAlign w:val="center"/>
          </w:tcPr>
          <w:p>
            <w:pPr>
              <w:pStyle w:val="12"/>
              <w:spacing w:before="63" w:line="225"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14:textFill>
                  <w14:solidFill>
                    <w14:schemeClr w14:val="tx1"/>
                  </w14:solidFill>
                </w14:textFill>
              </w:rPr>
              <w:t>必须进行招标的项目而不招标的，将必须进行招标的项目化整为零或者以其他任何方式规避招标的</w:t>
            </w:r>
            <w:r>
              <w:rPr>
                <w:color w:val="000000" w:themeColor="text1"/>
                <w:spacing w:val="8"/>
                <w14:textFill>
                  <w14:solidFill>
                    <w14:schemeClr w14:val="tx1"/>
                  </w14:solidFill>
                </w14:textFill>
              </w:rPr>
              <w:t>。</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92" w:type="dxa"/>
            <w:vAlign w:val="center"/>
          </w:tcPr>
          <w:p>
            <w:pPr>
              <w:pStyle w:val="12"/>
              <w:spacing w:before="63" w:line="226"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明示或者暗示投标人压低或者抬高投标报价。</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92" w:type="dxa"/>
            <w:vAlign w:val="center"/>
          </w:tcPr>
          <w:p>
            <w:pPr>
              <w:pStyle w:val="12"/>
              <w:spacing w:before="64" w:line="226"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授意投标人撤换、修改投标文件。</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92" w:type="dxa"/>
            <w:vAlign w:val="center"/>
          </w:tcPr>
          <w:p>
            <w:pPr>
              <w:pStyle w:val="12"/>
              <w:spacing w:before="65" w:line="226"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明示或者暗示投标人为特定投标人中标提供方便。</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92" w:type="dxa"/>
            <w:vAlign w:val="center"/>
          </w:tcPr>
          <w:p>
            <w:pPr>
              <w:pStyle w:val="12"/>
              <w:spacing w:before="57" w:line="266" w:lineRule="exact"/>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position w:val="1"/>
                <w14:textFill>
                  <w14:solidFill>
                    <w14:schemeClr w14:val="tx1"/>
                  </w14:solidFill>
                </w14:textFill>
              </w:rPr>
              <w:t>与投标人、潜在投标人或评标委员会成员私下接触、串通、暗箱操作、虚假交易的行为。</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92" w:type="dxa"/>
            <w:vAlign w:val="center"/>
          </w:tcPr>
          <w:p>
            <w:pPr>
              <w:pStyle w:val="12"/>
              <w:spacing w:before="66" w:line="225" w:lineRule="auto"/>
              <w:jc w:val="left"/>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s="仿宋"/>
                <w:color w:val="000000" w:themeColor="text1"/>
                <w:kern w:val="2"/>
                <w:sz w:val="20"/>
                <w:szCs w:val="20"/>
                <w:lang w:val="en-US" w:eastAsia="zh-CN" w:bidi="ar-SA"/>
                <w14:textFill>
                  <w14:solidFill>
                    <w14:schemeClr w14:val="tx1"/>
                  </w14:solidFill>
                </w14:textFill>
              </w:rPr>
              <w:t>项目发起方</w:t>
            </w:r>
            <w:r>
              <w:rPr>
                <w:rFonts w:hint="eastAsia" w:ascii="仿宋" w:hAnsi="仿宋" w:eastAsia="仿宋" w:cs="仿宋"/>
                <w:color w:val="000000" w:themeColor="text1"/>
                <w:kern w:val="2"/>
                <w:sz w:val="20"/>
                <w:szCs w:val="20"/>
                <w:lang w:val="en-US" w:eastAsia="en-US" w:bidi="ar-SA"/>
                <w14:textFill>
                  <w14:solidFill>
                    <w14:schemeClr w14:val="tx1"/>
                  </w14:solidFill>
                </w14:textFill>
              </w:rPr>
              <w:t>无正当理由随意中止或者终止招标（政府采购）活动</w:t>
            </w:r>
            <w:r>
              <w:rPr>
                <w:rFonts w:hint="default" w:cs="仿宋"/>
                <w:color w:val="000000" w:themeColor="text1"/>
                <w:kern w:val="2"/>
                <w:sz w:val="20"/>
                <w:szCs w:val="20"/>
                <w:lang w:eastAsia="en-US" w:bidi="ar-SA"/>
                <w14:textFill>
                  <w14:solidFill>
                    <w14:schemeClr w14:val="tx1"/>
                  </w14:solidFill>
                </w14:textFill>
              </w:rPr>
              <w:t>。</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92" w:type="dxa"/>
            <w:vAlign w:val="center"/>
          </w:tcPr>
          <w:p>
            <w:pPr>
              <w:pStyle w:val="12"/>
              <w:spacing w:before="66" w:line="225" w:lineRule="auto"/>
              <w:jc w:val="left"/>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与中标人不按照招标文件和中标人的投标文件订立合同的，或者与中标人订立背离合同实质性内容的协议</w:t>
            </w:r>
            <w:r>
              <w:rPr>
                <w:rFonts w:hint="default" w:cs="仿宋"/>
                <w:color w:val="000000" w:themeColor="text1"/>
                <w:kern w:val="2"/>
                <w:sz w:val="20"/>
                <w:szCs w:val="20"/>
                <w:lang w:eastAsia="en-US" w:bidi="ar-SA"/>
                <w14:textFill>
                  <w14:solidFill>
                    <w14:schemeClr w14:val="tx1"/>
                  </w14:solidFill>
                </w14:textFill>
              </w:rPr>
              <w:t>。</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92" w:type="dxa"/>
            <w:vAlign w:val="center"/>
          </w:tcPr>
          <w:p>
            <w:pPr>
              <w:pStyle w:val="12"/>
              <w:spacing w:before="66" w:line="225" w:lineRule="auto"/>
              <w:jc w:val="left"/>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cs="仿宋"/>
                <w:color w:val="000000" w:themeColor="text1"/>
                <w:kern w:val="2"/>
                <w:sz w:val="20"/>
                <w:szCs w:val="20"/>
                <w:lang w:val="en-US" w:eastAsia="zh-CN" w:bidi="ar-SA"/>
                <w14:textFill>
                  <w14:solidFill>
                    <w14:schemeClr w14:val="tx1"/>
                  </w14:solidFill>
                </w14:textFill>
              </w:rPr>
              <w:t>项目发起方</w:t>
            </w:r>
            <w:r>
              <w:rPr>
                <w:rFonts w:hint="eastAsia" w:ascii="仿宋" w:hAnsi="仿宋" w:eastAsia="仿宋" w:cs="仿宋"/>
                <w:color w:val="000000" w:themeColor="text1"/>
                <w:kern w:val="2"/>
                <w:sz w:val="20"/>
                <w:szCs w:val="20"/>
                <w:lang w:val="en-US" w:eastAsia="en-US" w:bidi="ar-SA"/>
                <w14:textFill>
                  <w14:solidFill>
                    <w14:schemeClr w14:val="tx1"/>
                  </w14:solidFill>
                </w14:textFill>
              </w:rPr>
              <w:t>在评标委员会依法推荐的中标候选人以外确定中标人。</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92" w:type="dxa"/>
            <w:vAlign w:val="center"/>
          </w:tcPr>
          <w:p>
            <w:pPr>
              <w:pStyle w:val="12"/>
              <w:spacing w:before="66" w:line="225"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拒绝有关部门依法实施监督检查，或者在有关部门监督检查时提供虚假情况。</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92" w:type="dxa"/>
            <w:vAlign w:val="center"/>
          </w:tcPr>
          <w:p>
            <w:pPr>
              <w:pStyle w:val="12"/>
              <w:spacing w:before="66" w:line="225"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触犯刑法受到司法部门处罚的。</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92" w:type="dxa"/>
            <w:vAlign w:val="center"/>
          </w:tcPr>
          <w:p>
            <w:pPr>
              <w:pStyle w:val="12"/>
              <w:spacing w:before="66" w:line="225" w:lineRule="auto"/>
              <w:jc w:val="left"/>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8"/>
                <w14:textFill>
                  <w14:solidFill>
                    <w14:schemeClr w14:val="tx1"/>
                  </w14:solidFill>
                </w14:textFill>
              </w:rPr>
              <w:t>公告期内再次被行政处罚（处理）的。</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13</w:t>
            </w:r>
          </w:p>
        </w:tc>
        <w:tc>
          <w:tcPr>
            <w:tcW w:w="10792" w:type="dxa"/>
            <w:vAlign w:val="center"/>
          </w:tcPr>
          <w:p>
            <w:pPr>
              <w:pStyle w:val="12"/>
              <w:spacing w:before="52" w:line="223"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指定购买特定经营者、特定品牌的商品或服务，将其他经营主体排除在外。</w:t>
            </w:r>
          </w:p>
        </w:tc>
        <w:tc>
          <w:tcPr>
            <w:tcW w:w="1805"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asciiTheme="minorHAnsi" w:hAnsiTheme="minorHAnsi" w:eastAsiaTheme="minor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14</w:t>
            </w:r>
          </w:p>
        </w:tc>
        <w:tc>
          <w:tcPr>
            <w:tcW w:w="10792" w:type="dxa"/>
            <w:vAlign w:val="center"/>
          </w:tcPr>
          <w:p>
            <w:pPr>
              <w:pStyle w:val="12"/>
              <w:spacing w:before="52" w:line="223"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在招标采购中，限定或指定特定的专利、商标、品牌、零部件、原产地、供应商或代理机构，或限定企业所有制形式，要求优先采购本地商品或特定经营者商品。</w:t>
            </w:r>
          </w:p>
        </w:tc>
        <w:tc>
          <w:tcPr>
            <w:tcW w:w="1805" w:type="dxa"/>
            <w:vAlign w:val="bottom"/>
          </w:tcPr>
          <w:p>
            <w:pPr>
              <w:jc w:val="cente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15</w:t>
            </w:r>
          </w:p>
        </w:tc>
        <w:tc>
          <w:tcPr>
            <w:tcW w:w="10792" w:type="dxa"/>
            <w:vAlign w:val="center"/>
          </w:tcPr>
          <w:p>
            <w:pPr>
              <w:pStyle w:val="12"/>
              <w:spacing w:before="52" w:line="223" w:lineRule="auto"/>
              <w:jc w:val="left"/>
              <w:rPr>
                <w:color w:val="000000" w:themeColor="text1"/>
                <w:spacing w:val="13"/>
                <w14:textFill>
                  <w14:solidFill>
                    <w14:schemeClr w14:val="tx1"/>
                  </w14:solidFill>
                </w14:textFill>
              </w:rPr>
            </w:pPr>
            <w:r>
              <w:rPr>
                <w:rFonts w:hint="eastAsia"/>
                <w:color w:val="000000" w:themeColor="text1"/>
                <w:spacing w:val="13"/>
                <w14:textFill>
                  <w14:solidFill>
                    <w14:schemeClr w14:val="tx1"/>
                  </w14:solidFill>
                </w14:textFill>
              </w:rPr>
              <w:t>招投标条件设置不利于外地企业，设置隐性壁垒。违规设置区域壁垒，限制外地企业承接工程项目,合同、协议中要求总包企业将一定比例的项目分包给项目所在地具有相应资质的企业</w:t>
            </w:r>
          </w:p>
        </w:tc>
        <w:tc>
          <w:tcPr>
            <w:tcW w:w="1805"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16</w:t>
            </w:r>
          </w:p>
        </w:tc>
        <w:tc>
          <w:tcPr>
            <w:tcW w:w="10792" w:type="dxa"/>
            <w:vAlign w:val="center"/>
          </w:tcPr>
          <w:p>
            <w:pPr>
              <w:pStyle w:val="12"/>
              <w:spacing w:before="52" w:line="223" w:lineRule="auto"/>
              <w:jc w:val="left"/>
              <w:rPr>
                <w:color w:val="000000" w:themeColor="text1"/>
                <w:spacing w:val="13"/>
                <w14:textFill>
                  <w14:solidFill>
                    <w14:schemeClr w14:val="tx1"/>
                  </w14:solidFill>
                </w14:textFill>
              </w:rPr>
            </w:pPr>
            <w:r>
              <w:rPr>
                <w:rFonts w:hint="eastAsia"/>
                <w:color w:val="000000" w:themeColor="text1"/>
                <w:spacing w:val="13"/>
                <w14:textFill>
                  <w14:solidFill>
                    <w14:schemeClr w14:val="tx1"/>
                  </w14:solidFill>
                </w14:textFill>
              </w:rPr>
              <w:t>违法设定有利于本地区企业中标的条件，在技术分和商务分外另违规设置信用评价指标和信用分。</w:t>
            </w:r>
          </w:p>
        </w:tc>
        <w:tc>
          <w:tcPr>
            <w:tcW w:w="1805"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asciiTheme="minorHAnsi" w:hAnsiTheme="minorHAnsi" w:eastAsiaTheme="minorEastAsia" w:cstheme="minorBidi"/>
                <w:color w:val="000000" w:themeColor="text1"/>
                <w:kern w:val="2"/>
                <w:sz w:val="21"/>
                <w:szCs w:val="22"/>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17</w:t>
            </w:r>
          </w:p>
        </w:tc>
        <w:tc>
          <w:tcPr>
            <w:tcW w:w="10792" w:type="dxa"/>
            <w:vAlign w:val="center"/>
          </w:tcPr>
          <w:p>
            <w:pPr>
              <w:pStyle w:val="12"/>
              <w:spacing w:before="52" w:line="223"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3"/>
                <w14:textFill>
                  <w14:solidFill>
                    <w14:schemeClr w14:val="tx1"/>
                  </w14:solidFill>
                </w14:textFill>
              </w:rPr>
              <w:t>其他依法应列为</w:t>
            </w:r>
            <w:r>
              <w:rPr>
                <w:rFonts w:hint="eastAsia"/>
                <w:color w:val="000000" w:themeColor="text1"/>
                <w:spacing w:val="13"/>
                <w:lang w:eastAsia="zh-CN"/>
                <w14:textFill>
                  <w14:solidFill>
                    <w14:schemeClr w14:val="tx1"/>
                  </w14:solidFill>
                </w14:textFill>
              </w:rPr>
              <w:t>项目发起方</w:t>
            </w:r>
            <w:r>
              <w:rPr>
                <w:color w:val="000000" w:themeColor="text1"/>
                <w:spacing w:val="13"/>
                <w14:textFill>
                  <w14:solidFill>
                    <w14:schemeClr w14:val="tx1"/>
                  </w14:solidFill>
                </w14:textFill>
              </w:rPr>
              <w:t>严重不良行为的。</w:t>
            </w:r>
          </w:p>
        </w:tc>
        <w:tc>
          <w:tcPr>
            <w:tcW w:w="1805" w:type="dxa"/>
            <w:vAlign w:val="bottom"/>
          </w:tcPr>
          <w:p>
            <w:pPr>
              <w:jc w:val="cente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pStyle w:val="5"/>
        <w:rPr>
          <w:rFonts w:hint="eastAsia"/>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jc w:val="center"/>
        <w:rPr>
          <w:rFonts w:hint="default"/>
          <w:b/>
          <w:bCs/>
          <w:color w:val="000000" w:themeColor="text1"/>
          <w:sz w:val="28"/>
          <w:szCs w:val="28"/>
          <w:lang w:eastAsia="zh-Hans"/>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2.</w:t>
      </w:r>
      <w:r>
        <w:rPr>
          <w:rFonts w:hint="default"/>
          <w:b/>
          <w:bCs/>
          <w:color w:val="000000" w:themeColor="text1"/>
          <w:sz w:val="28"/>
          <w:szCs w:val="28"/>
          <w:lang w:val="en-US" w:eastAsia="zh-CN"/>
          <w14:textFill>
            <w14:solidFill>
              <w14:schemeClr w14:val="tx1"/>
            </w14:solidFill>
          </w14:textFill>
        </w:rPr>
        <w:t>投标人（供应商）及</w:t>
      </w:r>
      <w:r>
        <w:rPr>
          <w:rFonts w:hint="eastAsia"/>
          <w:b/>
          <w:bCs/>
          <w:color w:val="000000" w:themeColor="text1"/>
          <w:sz w:val="28"/>
          <w:szCs w:val="28"/>
          <w:lang w:val="en-US" w:eastAsia="zh-Hans"/>
          <w14:textFill>
            <w14:solidFill>
              <w14:schemeClr w14:val="tx1"/>
            </w14:solidFill>
          </w14:textFill>
        </w:rPr>
        <w:t>其</w:t>
      </w:r>
      <w:r>
        <w:rPr>
          <w:rFonts w:hint="default"/>
          <w:b/>
          <w:bCs/>
          <w:color w:val="000000" w:themeColor="text1"/>
          <w:sz w:val="28"/>
          <w:szCs w:val="28"/>
          <w:lang w:val="en-US" w:eastAsia="zh-CN"/>
          <w14:textFill>
            <w14:solidFill>
              <w14:schemeClr w14:val="tx1"/>
            </w14:solidFill>
          </w14:textFill>
        </w:rPr>
        <w:t>相关从业人员信用信息记录量化记分标准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4" w:type="dxa"/>
            <w:gridSpan w:val="3"/>
            <w:vAlign w:val="bottom"/>
          </w:tcPr>
          <w:p>
            <w:pPr>
              <w:pStyle w:val="5"/>
              <w:jc w:val="center"/>
              <w:rPr>
                <w:rFonts w:hint="default"/>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与</w:t>
            </w:r>
            <w:r>
              <w:rPr>
                <w:rFonts w:hint="eastAsia"/>
                <w:color w:val="000000" w:themeColor="text1"/>
                <w:spacing w:val="9"/>
                <w:lang w:eastAsia="zh-CN"/>
                <w14:textFill>
                  <w14:solidFill>
                    <w14:schemeClr w14:val="tx1"/>
                  </w14:solidFill>
                </w14:textFill>
              </w:rPr>
              <w:t>项目发起方</w:t>
            </w:r>
            <w:r>
              <w:rPr>
                <w:color w:val="000000" w:themeColor="text1"/>
                <w:spacing w:val="9"/>
                <w14:textFill>
                  <w14:solidFill>
                    <w14:schemeClr w14:val="tx1"/>
                  </w14:solidFill>
                </w14:textFill>
              </w:rPr>
              <w:t>存在利害关系可能影响招标公正性的法人、其他组织或者个人，参加投标的。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5"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单位负责人为同一人或者存在控股、管理关系的不同单位，参加同一标段投标或者未划分标</w:t>
            </w:r>
            <w:r>
              <w:rPr>
                <w:color w:val="000000" w:themeColor="text1"/>
                <w:spacing w:val="8"/>
                <w14:textFill>
                  <w14:solidFill>
                    <w14:schemeClr w14:val="tx1"/>
                  </w14:solidFill>
                </w14:textFill>
              </w:rPr>
              <w:t>段的同一招标项目投标的。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46"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发生合并、分立、破产等重大变化后不及时</w:t>
            </w:r>
            <w:r>
              <w:rPr>
                <w:color w:val="000000" w:themeColor="text1"/>
                <w:spacing w:val="8"/>
                <w14:textFill>
                  <w14:solidFill>
                    <w14:schemeClr w14:val="tx1"/>
                  </w14:solidFill>
                </w14:textFill>
              </w:rPr>
              <w:t>书面告知</w:t>
            </w:r>
            <w:r>
              <w:rPr>
                <w:rFonts w:hint="eastAsia"/>
                <w:color w:val="000000" w:themeColor="text1"/>
                <w:spacing w:val="8"/>
                <w:lang w:eastAsia="zh-CN"/>
                <w14:textFill>
                  <w14:solidFill>
                    <w14:schemeClr w14:val="tx1"/>
                  </w14:solidFill>
                </w14:textFill>
              </w:rPr>
              <w:t>项目发起方</w:t>
            </w:r>
            <w:r>
              <w:rPr>
                <w:color w:val="000000" w:themeColor="text1"/>
                <w:spacing w:val="8"/>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45"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依法必须招标项目的境内投标单位，其投标</w:t>
            </w:r>
            <w:r>
              <w:rPr>
                <w:color w:val="000000" w:themeColor="text1"/>
                <w:spacing w:val="9"/>
                <w14:textFill>
                  <w14:solidFill>
                    <w14:schemeClr w14:val="tx1"/>
                  </w14:solidFill>
                </w14:textFill>
              </w:rPr>
              <w:t>保证金虽是由本单位账户转出、提取，但不是从其基本账户转出的。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47"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评标委员会认为投标人应作出必要澄清、说明，投标人不按规定进行澄清、说明的。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64"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资格预审合格后，投标人的项目管理机构组成出现调整不及时书面告知</w:t>
            </w:r>
            <w:r>
              <w:rPr>
                <w:rFonts w:hint="eastAsia"/>
                <w:color w:val="000000" w:themeColor="text1"/>
                <w:spacing w:val="9"/>
                <w:lang w:eastAsia="zh-CN"/>
                <w14:textFill>
                  <w14:solidFill>
                    <w14:schemeClr w14:val="tx1"/>
                  </w14:solidFill>
                </w14:textFill>
              </w:rPr>
              <w:t>项目发起方</w:t>
            </w:r>
            <w:r>
              <w:rPr>
                <w:color w:val="000000" w:themeColor="text1"/>
                <w:spacing w:val="9"/>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65"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6"/>
                <w:lang w:eastAsia="zh-CN"/>
                <w14:textFill>
                  <w14:solidFill>
                    <w14:schemeClr w14:val="tx1"/>
                  </w14:solidFill>
                </w14:textFill>
              </w:rPr>
              <w:t>经评标委员会认定</w:t>
            </w:r>
            <w:r>
              <w:rPr>
                <w:color w:val="000000" w:themeColor="text1"/>
                <w:spacing w:val="6"/>
                <w14:textFill>
                  <w14:solidFill>
                    <w14:schemeClr w14:val="tx1"/>
                  </w14:solidFill>
                </w14:textFill>
              </w:rPr>
              <w:t>以低于成本报价竞标的。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pStyle w:val="12"/>
              <w:spacing w:before="65"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在开标现场用不正当手段干扰开标工作的。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pStyle w:val="12"/>
              <w:spacing w:before="19" w:line="232" w:lineRule="auto"/>
              <w:ind w:right="92" w:righ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资格预审申请文件提交截止时间前未对资格预审文件内容提出异议，资格预审结果出来后又对资格</w:t>
            </w:r>
            <w:r>
              <w:rPr>
                <w:color w:val="000000" w:themeColor="text1"/>
                <w:spacing w:val="8"/>
                <w14:textFill>
                  <w14:solidFill>
                    <w14:schemeClr w14:val="tx1"/>
                  </w14:solidFill>
                </w14:textFill>
              </w:rPr>
              <w:t>预审文件内容进行投</w:t>
            </w:r>
            <w:r>
              <w:rPr>
                <w:color w:val="000000" w:themeColor="text1"/>
                <w:spacing w:val="9"/>
                <w14:textFill>
                  <w14:solidFill>
                    <w14:schemeClr w14:val="tx1"/>
                  </w14:solidFill>
                </w14:textFill>
              </w:rPr>
              <w:t>诉的；投标文件递交截止时间前未对招标文件内容提出异议，评标结果出来后又对招标文件内容、甚至资格预审文件内</w:t>
            </w:r>
            <w:r>
              <w:rPr>
                <w:color w:val="000000" w:themeColor="text1"/>
                <w:spacing w:val="6"/>
                <w14:textFill>
                  <w14:solidFill>
                    <w14:schemeClr w14:val="tx1"/>
                  </w14:solidFill>
                </w14:textFill>
              </w:rPr>
              <w:t>容进行投诉的。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pStyle w:val="12"/>
              <w:spacing w:before="22" w:line="222" w:lineRule="auto"/>
              <w:ind w:right="88" w:righ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对开标的程序或者内容未在开标现场提出过异议，却在中标人确定后对开标的程序或者内容进行投诉的；对评评标结果未在公示期内提出过异议，却在中标人确定后对评标结果进行投诉</w:t>
            </w:r>
            <w:r>
              <w:rPr>
                <w:color w:val="000000" w:themeColor="text1"/>
                <w:spacing w:val="8"/>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89" w:type="dxa"/>
            <w:vAlign w:val="center"/>
          </w:tcPr>
          <w:p>
            <w:pPr>
              <w:pStyle w:val="12"/>
              <w:spacing w:before="68"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不配合投诉调查处理或者案件查办。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89" w:type="dxa"/>
            <w:vAlign w:val="center"/>
          </w:tcPr>
          <w:p>
            <w:pPr>
              <w:pStyle w:val="12"/>
              <w:spacing w:before="48"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其他依法应列为投标人一般不良行为的。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63"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其他依法应列为竞争主体及其相关人员一般不良行</w:t>
            </w:r>
            <w:r>
              <w:rPr>
                <w:color w:val="000000" w:themeColor="text1"/>
                <w:spacing w:val="8"/>
                <w14:textFill>
                  <w14:solidFill>
                    <w14:schemeClr w14:val="tx1"/>
                  </w14:solidFill>
                </w14:textFill>
              </w:rPr>
              <w:t>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使用伪造、变造的许可证件。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4"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lang w:val="en-US" w:eastAsia="zh-Hans"/>
                <w14:textFill>
                  <w14:solidFill>
                    <w14:schemeClr w14:val="tx1"/>
                  </w14:solidFill>
                </w14:textFill>
              </w:rPr>
              <w:t>投标人</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供应商</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在招标</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采购</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中</w:t>
            </w:r>
            <w:r>
              <w:rPr>
                <w:rFonts w:hint="default"/>
                <w:color w:val="000000" w:themeColor="text1"/>
                <w:spacing w:val="7"/>
                <w:lang w:eastAsia="zh-Hans"/>
                <w14:textFill>
                  <w14:solidFill>
                    <w14:schemeClr w14:val="tx1"/>
                  </w14:solidFill>
                </w14:textFill>
              </w:rPr>
              <w:t>弄虚作假的。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0"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中标后不及时、足额按招标文件要求提交履约保证金的。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1"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配合</w:t>
            </w:r>
            <w:r>
              <w:rPr>
                <w:rFonts w:hint="eastAsia"/>
                <w:color w:val="000000" w:themeColor="text1"/>
                <w:spacing w:val="8"/>
                <w:lang w:eastAsia="zh-CN"/>
                <w14:textFill>
                  <w14:solidFill>
                    <w14:schemeClr w14:val="tx1"/>
                  </w14:solidFill>
                </w14:textFill>
              </w:rPr>
              <w:t>项目发起方</w:t>
            </w:r>
            <w:r>
              <w:rPr>
                <w:color w:val="000000" w:themeColor="text1"/>
                <w:spacing w:val="8"/>
                <w14:textFill>
                  <w14:solidFill>
                    <w14:schemeClr w14:val="tx1"/>
                  </w14:solidFill>
                </w14:textFill>
              </w:rPr>
              <w:t>或招标代理机构实施虚假招标。</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61" w:line="224"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必须进行招标的项目，与</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就投标价格、投标方案等实质性内容进行谈判的</w:t>
            </w:r>
            <w:r>
              <w:rPr>
                <w:rFonts w:hint="default"/>
                <w:color w:val="000000" w:themeColor="text1"/>
                <w:spacing w:val="8"/>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62"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用威胁、恐吓或其他非法手段阻止他人投标。</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63"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扰乱或破坏开标秩序，阻止开标或者使开标不能正</w:t>
            </w:r>
            <w:r>
              <w:rPr>
                <w:color w:val="000000" w:themeColor="text1"/>
                <w:spacing w:val="8"/>
                <w14:textFill>
                  <w14:solidFill>
                    <w14:schemeClr w14:val="tx1"/>
                  </w14:solidFill>
                </w14:textFill>
              </w:rPr>
              <w:t>常进行。</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pStyle w:val="12"/>
              <w:spacing w:before="63"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威胁、恐吓评标专家，恶意干扰或破坏评标工作。</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pStyle w:val="12"/>
              <w:spacing w:before="63" w:line="224" w:lineRule="auto"/>
              <w:jc w:val="both"/>
              <w:rPr>
                <w:rFonts w:hint="default"/>
                <w:color w:val="000000" w:themeColor="text1"/>
                <w:spacing w:val="8"/>
                <w14:textFill>
                  <w14:solidFill>
                    <w14:schemeClr w14:val="tx1"/>
                  </w14:solidFill>
                </w14:textFill>
              </w:rPr>
            </w:pPr>
            <w:r>
              <w:rPr>
                <w:rFonts w:hint="eastAsia"/>
                <w:color w:val="000000" w:themeColor="text1"/>
                <w:spacing w:val="7"/>
                <w:lang w:val="en-US" w:eastAsia="zh-Hans"/>
                <w14:textFill>
                  <w14:solidFill>
                    <w14:schemeClr w14:val="tx1"/>
                  </w14:solidFill>
                </w14:textFill>
              </w:rPr>
              <w:t>投标人</w:t>
            </w:r>
            <w:r>
              <w:rPr>
                <w:rFonts w:hint="default"/>
                <w:color w:val="000000" w:themeColor="text1"/>
                <w:spacing w:val="7"/>
                <w:lang w:eastAsia="zh-Hans"/>
                <w14:textFill>
                  <w14:solidFill>
                    <w14:schemeClr w14:val="tx1"/>
                  </w14:solidFill>
                </w14:textFill>
              </w:rPr>
              <w:t>（</w:t>
            </w:r>
            <w:r>
              <w:rPr>
                <w:rFonts w:hint="eastAsia"/>
                <w:color w:val="000000" w:themeColor="text1"/>
                <w:spacing w:val="7"/>
                <w:lang w:val="en-US" w:eastAsia="zh-Hans"/>
                <w14:textFill>
                  <w14:solidFill>
                    <w14:schemeClr w14:val="tx1"/>
                  </w14:solidFill>
                </w14:textFill>
              </w:rPr>
              <w:t>供应商</w:t>
            </w:r>
            <w:r>
              <w:rPr>
                <w:rFonts w:hint="default"/>
                <w:color w:val="000000" w:themeColor="text1"/>
                <w:spacing w:val="7"/>
                <w:lang w:eastAsia="zh-Hans"/>
                <w14:textFill>
                  <w14:solidFill>
                    <w14:schemeClr w14:val="tx1"/>
                  </w14:solidFill>
                </w14:textFill>
              </w:rPr>
              <w:t>）</w:t>
            </w:r>
            <w:r>
              <w:rPr>
                <w:rFonts w:hint="eastAsia"/>
                <w:color w:val="000000" w:themeColor="text1"/>
                <w:spacing w:val="8"/>
                <w14:textFill>
                  <w14:solidFill>
                    <w14:schemeClr w14:val="tx1"/>
                  </w14:solidFill>
                </w14:textFill>
              </w:rPr>
              <w:t>对已查明的事实不接受，反复投诉、多处投诉，</w:t>
            </w:r>
            <w:r>
              <w:rPr>
                <w:rFonts w:hint="eastAsia"/>
                <w:color w:val="000000" w:themeColor="text1"/>
                <w:spacing w:val="8"/>
                <w:lang w:val="en-US" w:eastAsia="zh-Hans"/>
                <w14:textFill>
                  <w14:solidFill>
                    <w14:schemeClr w14:val="tx1"/>
                  </w14:solidFill>
                </w14:textFill>
              </w:rPr>
              <w:t>或</w:t>
            </w:r>
            <w:r>
              <w:rPr>
                <w:rFonts w:hint="eastAsia"/>
                <w:color w:val="000000" w:themeColor="text1"/>
                <w:spacing w:val="8"/>
                <w14:textFill>
                  <w14:solidFill>
                    <w14:schemeClr w14:val="tx1"/>
                  </w14:solidFill>
                </w14:textFill>
              </w:rPr>
              <w:t>捏造事实、伪造材料</w:t>
            </w:r>
            <w:r>
              <w:rPr>
                <w:rFonts w:hint="eastAsia"/>
                <w:color w:val="000000" w:themeColor="text1"/>
                <w:spacing w:val="8"/>
                <w:lang w:val="en-US" w:eastAsia="zh-Hans"/>
                <w14:textFill>
                  <w14:solidFill>
                    <w14:schemeClr w14:val="tx1"/>
                  </w14:solidFill>
                </w14:textFill>
              </w:rPr>
              <w:t>进行投诉</w:t>
            </w:r>
            <w:r>
              <w:rPr>
                <w:rFonts w:hint="eastAsia"/>
                <w:color w:val="000000" w:themeColor="text1"/>
                <w:spacing w:val="8"/>
                <w14:textFill>
                  <w14:solidFill>
                    <w14:schemeClr w14:val="tx1"/>
                  </w14:solidFill>
                </w14:textFill>
              </w:rPr>
              <w:t>，阻碍招标投标活动的正常进</w:t>
            </w:r>
            <w:r>
              <w:rPr>
                <w:rFonts w:hint="eastAsia"/>
                <w:color w:val="000000" w:themeColor="text1"/>
                <w:spacing w:val="7"/>
                <w:lang w:eastAsia="zh-Hans"/>
                <w14:textFill>
                  <w14:solidFill>
                    <w14:schemeClr w14:val="tx1"/>
                  </w14:solidFill>
                </w14:textFill>
              </w:rPr>
              <w:t>行</w:t>
            </w:r>
            <w:r>
              <w:rPr>
                <w:rFonts w:hint="eastAsia"/>
                <w:color w:val="000000" w:themeColor="text1"/>
                <w:spacing w:val="7"/>
                <w:lang w:val="en-US" w:eastAsia="zh-Hans"/>
                <w14:textFill>
                  <w14:solidFill>
                    <w14:schemeClr w14:val="tx1"/>
                  </w14:solidFill>
                </w14:textFill>
              </w:rPr>
              <w:t>的恶意投诉行为</w:t>
            </w:r>
            <w:r>
              <w:rPr>
                <w:rFonts w:hint="default"/>
                <w:color w:val="000000" w:themeColor="text1"/>
                <w:spacing w:val="7"/>
                <w:lang w:eastAsia="zh-Hans"/>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pStyle w:val="12"/>
              <w:spacing w:before="63" w:line="224" w:lineRule="auto"/>
              <w:jc w:val="both"/>
              <w:rPr>
                <w:rFonts w:hint="default"/>
                <w:color w:val="000000" w:themeColor="text1"/>
                <w:spacing w:val="7"/>
                <w:lang w:eastAsia="zh-Hans"/>
                <w14:textFill>
                  <w14:solidFill>
                    <w14:schemeClr w14:val="tx1"/>
                  </w14:solidFill>
                </w14:textFill>
              </w:rPr>
            </w:pPr>
            <w:r>
              <w:rPr>
                <w:rFonts w:hint="eastAsia"/>
                <w:color w:val="000000" w:themeColor="text1"/>
                <w:spacing w:val="7"/>
                <w:lang w:val="en-US" w:eastAsia="zh-Hans"/>
                <w14:textFill>
                  <w14:solidFill>
                    <w14:schemeClr w14:val="tx1"/>
                  </w14:solidFill>
                </w14:textFill>
              </w:rPr>
              <w:t>投诉处理决定做出前，投诉人无正当理由撤诉又投诉的</w:t>
            </w:r>
            <w:r>
              <w:rPr>
                <w:rFonts w:hint="default"/>
                <w:color w:val="000000" w:themeColor="text1"/>
                <w:spacing w:val="7"/>
                <w:lang w:eastAsia="zh-Hans"/>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89" w:type="dxa"/>
            <w:vAlign w:val="center"/>
          </w:tcPr>
          <w:p>
            <w:pPr>
              <w:pStyle w:val="12"/>
              <w:spacing w:before="63" w:line="224" w:lineRule="auto"/>
              <w:jc w:val="both"/>
              <w:rPr>
                <w:color w:val="000000" w:themeColor="text1"/>
                <w:spacing w:val="8"/>
                <w14:textFill>
                  <w14:solidFill>
                    <w14:schemeClr w14:val="tx1"/>
                  </w14:solidFill>
                </w14:textFill>
              </w:rPr>
            </w:pPr>
            <w:r>
              <w:rPr>
                <w:color w:val="000000" w:themeColor="text1"/>
                <w:spacing w:val="9"/>
                <w14:textFill>
                  <w14:solidFill>
                    <w14:schemeClr w14:val="tx1"/>
                  </w14:solidFill>
                </w14:textFill>
              </w:rPr>
              <w:t>在有关部门处理投诉、查办案件调查有关情况时，提供虚假情况或者作伪证。</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89" w:type="dxa"/>
            <w:vAlign w:val="center"/>
          </w:tcPr>
          <w:p>
            <w:pPr>
              <w:pStyle w:val="12"/>
              <w:spacing w:before="50" w:line="226"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color w:val="000000" w:themeColor="text1"/>
                <w:spacing w:val="6"/>
                <w14:textFill>
                  <w14:solidFill>
                    <w14:schemeClr w14:val="tx1"/>
                  </w14:solidFill>
                </w14:textFill>
              </w:rPr>
              <w:t>中标后</w:t>
            </w:r>
            <w:r>
              <w:rPr>
                <w:rFonts w:hint="eastAsia"/>
                <w:color w:val="000000" w:themeColor="text1"/>
                <w:spacing w:val="6"/>
                <w:lang w:val="en-US" w:eastAsia="zh-Hans"/>
                <w14:textFill>
                  <w14:solidFill>
                    <w14:schemeClr w14:val="tx1"/>
                  </w14:solidFill>
                </w14:textFill>
              </w:rPr>
              <w:t>存在严重违约行为的</w:t>
            </w:r>
            <w:r>
              <w:rPr>
                <w:rFonts w:hint="default"/>
                <w:color w:val="000000" w:themeColor="text1"/>
                <w:spacing w:val="6"/>
                <w:lang w:eastAsia="zh-Hans"/>
                <w14:textFill>
                  <w14:solidFill>
                    <w14:schemeClr w14:val="tx1"/>
                  </w14:solidFill>
                </w14:textFill>
              </w:rPr>
              <w:t>。（</w:t>
            </w:r>
            <w:r>
              <w:rPr>
                <w:color w:val="000000" w:themeColor="text1"/>
                <w:spacing w:val="6"/>
                <w14:textFill>
                  <w14:solidFill>
                    <w14:schemeClr w14:val="tx1"/>
                  </w14:solidFill>
                </w14:textFill>
              </w:rPr>
              <w:t>无正当理由放弃中标项目、</w:t>
            </w:r>
            <w:r>
              <w:rPr>
                <w:color w:val="000000" w:themeColor="text1"/>
                <w:spacing w:val="4"/>
                <w14:textFill>
                  <w14:solidFill>
                    <w14:schemeClr w14:val="tx1"/>
                  </w14:solidFill>
                </w14:textFill>
              </w:rPr>
              <w:t>拒绝签订合同</w:t>
            </w:r>
            <w:r>
              <w:rPr>
                <w:color w:val="000000" w:themeColor="text1"/>
                <w:spacing w:val="6"/>
                <w14:textFill>
                  <w14:solidFill>
                    <w14:schemeClr w14:val="tx1"/>
                  </w14:solidFill>
                </w14:textFill>
              </w:rPr>
              <w:t>、向</w:t>
            </w:r>
            <w:r>
              <w:rPr>
                <w:rFonts w:hint="eastAsia"/>
                <w:color w:val="000000" w:themeColor="text1"/>
                <w:spacing w:val="6"/>
                <w:lang w:eastAsia="zh-CN"/>
                <w14:textFill>
                  <w14:solidFill>
                    <w14:schemeClr w14:val="tx1"/>
                  </w14:solidFill>
                </w14:textFill>
              </w:rPr>
              <w:t>项目发起方</w:t>
            </w:r>
            <w:r>
              <w:rPr>
                <w:color w:val="000000" w:themeColor="text1"/>
                <w:spacing w:val="6"/>
                <w14:textFill>
                  <w14:solidFill>
                    <w14:schemeClr w14:val="tx1"/>
                  </w14:solidFill>
                </w14:textFill>
              </w:rPr>
              <w:t>提出额外</w:t>
            </w:r>
            <w:r>
              <w:rPr>
                <w:rFonts w:hint="eastAsia"/>
                <w:color w:val="000000" w:themeColor="text1"/>
                <w:spacing w:val="6"/>
                <w:lang w:eastAsia="zh-CN"/>
                <w14:textFill>
                  <w14:solidFill>
                    <w14:schemeClr w14:val="tx1"/>
                  </w14:solidFill>
                </w14:textFill>
              </w:rPr>
              <w:t>不合理</w:t>
            </w:r>
            <w:r>
              <w:rPr>
                <w:color w:val="000000" w:themeColor="text1"/>
                <w:spacing w:val="6"/>
                <w14:textFill>
                  <w14:solidFill>
                    <w14:schemeClr w14:val="tx1"/>
                  </w14:solidFill>
                </w14:textFill>
              </w:rPr>
              <w:t>附加条件、</w:t>
            </w:r>
            <w:r>
              <w:rPr>
                <w:color w:val="000000" w:themeColor="text1"/>
                <w:spacing w:val="8"/>
                <w14:textFill>
                  <w14:solidFill>
                    <w14:schemeClr w14:val="tx1"/>
                  </w14:solidFill>
                </w14:textFill>
              </w:rPr>
              <w:t>将中标项目转让给他人或将中标项目肢解后分别转让给他人</w:t>
            </w:r>
            <w:r>
              <w:rPr>
                <w:color w:val="000000" w:themeColor="text1"/>
                <w:spacing w:val="6"/>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50"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其他依法应列为投标人（</w:t>
            </w:r>
            <w:r>
              <w:rPr>
                <w:rFonts w:hint="eastAsia"/>
                <w:color w:val="000000" w:themeColor="text1"/>
                <w:spacing w:val="8"/>
                <w:lang w:val="en-US" w:eastAsia="zh-Hans"/>
                <w14:textFill>
                  <w14:solidFill>
                    <w14:schemeClr w14:val="tx1"/>
                  </w14:solidFill>
                </w14:textFill>
              </w:rPr>
              <w:t>供应商</w:t>
            </w:r>
            <w:r>
              <w:rPr>
                <w:color w:val="000000" w:themeColor="text1"/>
                <w:spacing w:val="8"/>
                <w14:textFill>
                  <w14:solidFill>
                    <w14:schemeClr w14:val="tx1"/>
                  </w14:solidFill>
                </w14:textFill>
              </w:rPr>
              <w:t>）</w:t>
            </w:r>
            <w:r>
              <w:rPr>
                <w:rFonts w:hint="eastAsia"/>
                <w:color w:val="000000" w:themeColor="text1"/>
                <w:spacing w:val="8"/>
                <w:lang w:val="en-US" w:eastAsia="zh-Hans"/>
                <w14:textFill>
                  <w14:solidFill>
                    <w14:schemeClr w14:val="tx1"/>
                  </w14:solidFill>
                </w14:textFill>
              </w:rPr>
              <w:t>较重</w:t>
            </w:r>
            <w:r>
              <w:rPr>
                <w:color w:val="000000" w:themeColor="text1"/>
                <w:spacing w:val="8"/>
                <w14:textFill>
                  <w14:solidFill>
                    <w14:schemeClr w14:val="tx1"/>
                  </w14:solidFill>
                </w14:textFill>
              </w:rPr>
              <w:t>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通过出借或者出租资格、资质证书等方式允许他人以本单位名义参加资格预审或投标的。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60" w:line="225" w:lineRule="auto"/>
              <w:jc w:val="both"/>
              <w:rPr>
                <w:color w:val="000000" w:themeColor="text1"/>
                <w:spacing w:val="7"/>
                <w:lang w:val="en-US" w:eastAsia="en-US"/>
                <w14:textFill>
                  <w14:solidFill>
                    <w14:schemeClr w14:val="tx1"/>
                  </w14:solidFill>
                </w14:textFill>
              </w:rPr>
            </w:pPr>
            <w:r>
              <w:rPr>
                <w:color w:val="000000" w:themeColor="text1"/>
                <w:spacing w:val="7"/>
                <w14:textFill>
                  <w14:solidFill>
                    <w14:schemeClr w14:val="tx1"/>
                  </w14:solidFill>
                </w14:textFill>
              </w:rPr>
              <w:t>以他人名义、借用资质参加资格预审或投标的。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0" w:line="225" w:lineRule="auto"/>
              <w:jc w:val="both"/>
              <w:rPr>
                <w:rFonts w:hint="default"/>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不按照招标文件和中标人的投标文件订立合同的，或者订立背离合同实质性内容的协议的</w:t>
            </w:r>
            <w:r>
              <w:rPr>
                <w:rFonts w:hint="default"/>
                <w:color w:val="000000" w:themeColor="text1"/>
                <w:spacing w:val="7"/>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0" w:line="225" w:lineRule="auto"/>
              <w:jc w:val="both"/>
              <w:rPr>
                <w:rFonts w:hint="default"/>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投标人相互串通投标或者与</w:t>
            </w:r>
            <w:r>
              <w:rPr>
                <w:rFonts w:hint="eastAsia"/>
                <w:color w:val="000000" w:themeColor="text1"/>
                <w:spacing w:val="7"/>
                <w:lang w:eastAsia="zh-CN"/>
                <w14:textFill>
                  <w14:solidFill>
                    <w14:schemeClr w14:val="tx1"/>
                  </w14:solidFill>
                </w14:textFill>
              </w:rPr>
              <w:t>项目发起方</w:t>
            </w:r>
            <w:r>
              <w:rPr>
                <w:rFonts w:hint="eastAsia"/>
                <w:color w:val="000000" w:themeColor="text1"/>
                <w:spacing w:val="7"/>
                <w14:textFill>
                  <w14:solidFill>
                    <w14:schemeClr w14:val="tx1"/>
                  </w14:solidFill>
                </w14:textFill>
              </w:rPr>
              <w:t>串通投标</w:t>
            </w:r>
            <w:r>
              <w:rPr>
                <w:rFonts w:hint="default"/>
                <w:color w:val="000000" w:themeColor="text1"/>
                <w:spacing w:val="7"/>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66"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eastAsia="en-US" w:bidi="ar-SA"/>
                <w14:textFill>
                  <w14:solidFill>
                    <w14:schemeClr w14:val="tx1"/>
                  </w14:solidFill>
                </w14:textFill>
              </w:rPr>
              <w:t>向</w:t>
            </w:r>
            <w:r>
              <w:rPr>
                <w:rFonts w:hint="eastAsia" w:cs="仿宋"/>
                <w:color w:val="000000" w:themeColor="text1"/>
                <w:kern w:val="2"/>
                <w:sz w:val="20"/>
                <w:szCs w:val="20"/>
                <w:lang w:eastAsia="zh-CN" w:bidi="ar-SA"/>
                <w14:textFill>
                  <w14:solidFill>
                    <w14:schemeClr w14:val="tx1"/>
                  </w14:solidFill>
                </w14:textFill>
              </w:rPr>
              <w:t>项目发起方</w:t>
            </w:r>
            <w:r>
              <w:rPr>
                <w:rFonts w:hint="default" w:ascii="仿宋" w:hAnsi="仿宋" w:eastAsia="仿宋" w:cs="仿宋"/>
                <w:color w:val="000000" w:themeColor="text1"/>
                <w:kern w:val="2"/>
                <w:sz w:val="20"/>
                <w:szCs w:val="20"/>
                <w:lang w:eastAsia="en-US" w:bidi="ar-SA"/>
                <w14:textFill>
                  <w14:solidFill>
                    <w14:schemeClr w14:val="tx1"/>
                  </w14:solidFill>
                </w14:textFill>
              </w:rPr>
              <w:t>或者评标委员会成员行贿谋取中标</w:t>
            </w:r>
            <w:r>
              <w:rPr>
                <w:rFonts w:hint="default" w:cs="仿宋"/>
                <w:color w:val="000000" w:themeColor="text1"/>
                <w:kern w:val="2"/>
                <w:sz w:val="20"/>
                <w:szCs w:val="20"/>
                <w:lang w:eastAsia="en-U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0"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5"/>
                <w14:textFill>
                  <w14:solidFill>
                    <w14:schemeClr w14:val="tx1"/>
                  </w14:solidFill>
                </w14:textFill>
              </w:rPr>
              <w:t>围标串标活动的发起者、组织者（包括企业、个人</w:t>
            </w:r>
            <w:r>
              <w:rPr>
                <w:color w:val="000000" w:themeColor="text1"/>
                <w:spacing w:val="4"/>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50"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伪造、变造资格、资质证书或者其他许可证件骗取中标。</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pStyle w:val="12"/>
              <w:spacing w:before="66"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其他弄虚作假骗取中标情节严重的行为。</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pStyle w:val="12"/>
              <w:spacing w:before="66" w:line="224"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拒绝有关部门监督检查或者提供虚假情况的</w:t>
            </w:r>
            <w:r>
              <w:rPr>
                <w:rFonts w:hint="default"/>
                <w:color w:val="000000" w:themeColor="text1"/>
                <w:spacing w:val="8"/>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pStyle w:val="12"/>
              <w:spacing w:before="66"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在公告期内再次被行政处罚（处理）的。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789" w:type="dxa"/>
            <w:vAlign w:val="center"/>
          </w:tcPr>
          <w:p>
            <w:pPr>
              <w:pStyle w:val="12"/>
              <w:spacing w:before="65"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受到相关部门限制从业资格、限制投标的行政处罚的。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12</w:t>
            </w:r>
          </w:p>
        </w:tc>
        <w:tc>
          <w:tcPr>
            <w:tcW w:w="10789" w:type="dxa"/>
            <w:vAlign w:val="center"/>
          </w:tcPr>
          <w:p>
            <w:pPr>
              <w:pStyle w:val="12"/>
              <w:spacing w:before="67"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lang w:eastAsia="zh-Hans"/>
                <w14:textFill>
                  <w14:solidFill>
                    <w14:schemeClr w14:val="tx1"/>
                  </w14:solidFill>
                </w14:textFill>
              </w:rPr>
              <w:t>触犯刑法受到司法部门处罚的。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13</w:t>
            </w:r>
          </w:p>
        </w:tc>
        <w:tc>
          <w:tcPr>
            <w:tcW w:w="10789" w:type="dxa"/>
            <w:vAlign w:val="center"/>
          </w:tcPr>
          <w:p>
            <w:pPr>
              <w:pStyle w:val="12"/>
              <w:spacing w:before="67"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其他依法应列为投标人严重不良行为的。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pStyle w:val="5"/>
        <w:jc w:val="center"/>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3.产权转让方及</w:t>
      </w:r>
      <w:r>
        <w:rPr>
          <w:rFonts w:hint="eastAsia"/>
          <w:b/>
          <w:bCs/>
          <w:color w:val="000000" w:themeColor="text1"/>
          <w:sz w:val="28"/>
          <w:szCs w:val="28"/>
          <w:lang w:val="en-US" w:eastAsia="zh-Hans"/>
          <w14:textFill>
            <w14:solidFill>
              <w14:schemeClr w14:val="tx1"/>
            </w14:solidFill>
          </w14:textFill>
        </w:rPr>
        <w:t>其</w:t>
      </w:r>
      <w:r>
        <w:rPr>
          <w:rFonts w:hint="eastAsia"/>
          <w:b/>
          <w:bCs/>
          <w:color w:val="000000" w:themeColor="text1"/>
          <w:sz w:val="28"/>
          <w:szCs w:val="28"/>
          <w:lang w:val="en-US" w:eastAsia="zh-CN"/>
          <w14:textFill>
            <w14:solidFill>
              <w14:schemeClr w14:val="tx1"/>
            </w14:solidFill>
          </w14:textFill>
        </w:rPr>
        <w:t>从业人员信用信息记录量化记分标准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eastAsia"/>
                <w:color w:val="000000" w:themeColor="text1"/>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3" w:lineRule="auto"/>
              <w:ind w:left="14"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9"/>
                <w14:textFill>
                  <w14:solidFill>
                    <w14:schemeClr w14:val="tx1"/>
                  </w14:solidFill>
                </w14:textFill>
              </w:rPr>
              <w:t>在开展交易活动过程进行容缺承诺</w:t>
            </w:r>
            <w:r>
              <w:rPr>
                <w:color w:val="000000" w:themeColor="text1"/>
                <w:spacing w:val="-57"/>
                <w14:textFill>
                  <w14:solidFill>
                    <w14:schemeClr w14:val="tx1"/>
                  </w14:solidFill>
                </w14:textFill>
              </w:rPr>
              <w:t xml:space="preserve"> </w:t>
            </w:r>
            <w:r>
              <w:rPr>
                <w:color w:val="000000" w:themeColor="text1"/>
                <w:spacing w:val="19"/>
                <w14:textFill>
                  <w14:solidFill>
                    <w14:schemeClr w14:val="tx1"/>
                  </w14:solidFill>
                </w14:textFill>
              </w:rPr>
              <w:t>，未按承诺补齐</w:t>
            </w:r>
            <w:r>
              <w:rPr>
                <w:color w:val="000000" w:themeColor="text1"/>
                <w:spacing w:val="18"/>
                <w14:textFill>
                  <w14:solidFill>
                    <w14:schemeClr w14:val="tx1"/>
                  </w14:solidFill>
                </w14:textFill>
              </w:rPr>
              <w:t>资料的。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59" w:line="225" w:lineRule="auto"/>
              <w:ind w:left="17"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6"/>
                <w14:textFill>
                  <w14:solidFill>
                    <w14:schemeClr w14:val="tx1"/>
                  </w14:solidFill>
                </w14:textFill>
              </w:rPr>
              <w:t>不配合意向受让方查看项目现场或者单独组织个别意向受让方查看项目现场的。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0" w:line="223" w:lineRule="auto"/>
              <w:ind w:left="17"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7"/>
                <w14:textFill>
                  <w14:solidFill>
                    <w14:schemeClr w14:val="tx1"/>
                  </w14:solidFill>
                </w14:textFill>
              </w:rPr>
              <w:t>不在规定时限内对意向受让方或其他利害关系人提出的异议作出答复的。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2" w:line="226" w:lineRule="auto"/>
              <w:ind w:left="17"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其他依法应列为委托方（转让方） 一般不良行为的。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val="en-US" w:eastAsia="zh-Han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62" w:line="226" w:lineRule="auto"/>
              <w:ind w:left="17"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5"/>
                <w14:textFill>
                  <w14:solidFill>
                    <w14:schemeClr w14:val="tx1"/>
                  </w14:solidFill>
                </w14:textFill>
              </w:rPr>
              <w:t>不配合投诉调查处理或者案件查办的。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63" w:line="225" w:lineRule="auto"/>
              <w:ind w:left="3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7"/>
                <w14:textFill>
                  <w14:solidFill>
                    <w14:schemeClr w14:val="tx1"/>
                  </w14:solidFill>
                </w14:textFill>
              </w:rPr>
              <w:t>以明示或暗示等任何方式指定或变相指定竞买人的。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49" w:line="224" w:lineRule="auto"/>
              <w:ind w:left="12"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针对受让方设置有明确指向性或违反公平竞争原则的资格条件。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pStyle w:val="12"/>
              <w:spacing w:before="50" w:line="227" w:lineRule="auto"/>
              <w:ind w:left="13" w:leftChars="0"/>
              <w:jc w:val="both"/>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无故擅自宣布中止、终止交易的。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lang w:val="en-US"/>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52" w:line="226" w:lineRule="auto"/>
              <w:ind w:left="12" w:leftChars="0"/>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7"/>
                <w14:textFill>
                  <w14:solidFill>
                    <w14:schemeClr w14:val="tx1"/>
                  </w14:solidFill>
                </w14:textFill>
              </w:rPr>
              <w:t>不履行相应的内部决策程序、批准程序或者超越权限，擅自转让国有资产的</w:t>
            </w:r>
            <w:r>
              <w:rPr>
                <w:rFonts w:hint="default"/>
                <w:color w:val="000000" w:themeColor="text1"/>
                <w:spacing w:val="7"/>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w:t>
            </w:r>
          </w:p>
        </w:tc>
        <w:tc>
          <w:tcPr>
            <w:tcW w:w="10789" w:type="dxa"/>
            <w:vAlign w:val="center"/>
          </w:tcPr>
          <w:p>
            <w:pPr>
              <w:pStyle w:val="12"/>
              <w:spacing w:before="67" w:line="226" w:lineRule="auto"/>
              <w:ind w:left="14"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3"/>
                <w14:textFill>
                  <w14:solidFill>
                    <w14:schemeClr w14:val="tx1"/>
                  </w14:solidFill>
                </w14:textFill>
              </w:rPr>
              <w:t>采取不正当方式</w:t>
            </w:r>
            <w:r>
              <w:rPr>
                <w:color w:val="000000" w:themeColor="text1"/>
                <w:spacing w:val="-41"/>
                <w14:textFill>
                  <w14:solidFill>
                    <w14:schemeClr w14:val="tx1"/>
                  </w14:solidFill>
                </w14:textFill>
              </w:rPr>
              <w:t xml:space="preserve"> </w:t>
            </w:r>
            <w:r>
              <w:rPr>
                <w:color w:val="000000" w:themeColor="text1"/>
                <w:spacing w:val="23"/>
                <w14:textFill>
                  <w14:solidFill>
                    <w14:schemeClr w14:val="tx1"/>
                  </w14:solidFill>
                </w14:textFill>
              </w:rPr>
              <w:t>，妨碍公平交易</w:t>
            </w:r>
            <w:r>
              <w:rPr>
                <w:color w:val="000000" w:themeColor="text1"/>
                <w:spacing w:val="-56"/>
                <w14:textFill>
                  <w14:solidFill>
                    <w14:schemeClr w14:val="tx1"/>
                  </w14:solidFill>
                </w14:textFill>
              </w:rPr>
              <w:t xml:space="preserve"> </w:t>
            </w:r>
            <w:r>
              <w:rPr>
                <w:color w:val="000000" w:themeColor="text1"/>
                <w:spacing w:val="23"/>
                <w14:textFill>
                  <w14:solidFill>
                    <w14:schemeClr w14:val="tx1"/>
                  </w14:solidFill>
                </w14:textFill>
              </w:rPr>
              <w:t>，扰乱交易秩序</w:t>
            </w:r>
            <w:r>
              <w:rPr>
                <w:color w:val="000000" w:themeColor="text1"/>
                <w:spacing w:val="-56"/>
                <w14:textFill>
                  <w14:solidFill>
                    <w14:schemeClr w14:val="tx1"/>
                  </w14:solidFill>
                </w14:textFill>
              </w:rPr>
              <w:t xml:space="preserve"> </w:t>
            </w:r>
            <w:r>
              <w:rPr>
                <w:color w:val="000000" w:themeColor="text1"/>
                <w:spacing w:val="23"/>
                <w14:textFill>
                  <w14:solidFill>
                    <w14:schemeClr w14:val="tx1"/>
                  </w14:solidFill>
                </w14:textFill>
              </w:rPr>
              <w:t>，</w:t>
            </w:r>
            <w:r>
              <w:rPr>
                <w:color w:val="000000" w:themeColor="text1"/>
                <w:spacing w:val="-46"/>
                <w14:textFill>
                  <w14:solidFill>
                    <w14:schemeClr w14:val="tx1"/>
                  </w14:solidFill>
                </w14:textFill>
              </w:rPr>
              <w:t xml:space="preserve"> </w:t>
            </w:r>
            <w:r>
              <w:rPr>
                <w:color w:val="000000" w:themeColor="text1"/>
                <w:spacing w:val="23"/>
                <w14:textFill>
                  <w14:solidFill>
                    <w14:schemeClr w14:val="tx1"/>
                  </w14:solidFill>
                </w14:textFill>
              </w:rPr>
              <w:t>无正当理由拖延交易合同</w:t>
            </w:r>
            <w:r>
              <w:rPr>
                <w:color w:val="000000" w:themeColor="text1"/>
                <w:spacing w:val="22"/>
                <w14:textFill>
                  <w14:solidFill>
                    <w14:schemeClr w14:val="tx1"/>
                  </w14:solidFill>
                </w14:textFill>
              </w:rPr>
              <w:t>签订的。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w:t>
            </w:r>
          </w:p>
        </w:tc>
        <w:tc>
          <w:tcPr>
            <w:tcW w:w="10789" w:type="dxa"/>
            <w:vAlign w:val="center"/>
          </w:tcPr>
          <w:p>
            <w:pPr>
              <w:pStyle w:val="12"/>
              <w:spacing w:before="67" w:line="226" w:lineRule="auto"/>
              <w:ind w:left="14" w:leftChars="0"/>
              <w:jc w:val="both"/>
              <w:rPr>
                <w:color w:val="000000" w:themeColor="text1"/>
                <w:spacing w:val="23"/>
                <w14:textFill>
                  <w14:solidFill>
                    <w14:schemeClr w14:val="tx1"/>
                  </w14:solidFill>
                </w14:textFill>
              </w:rPr>
            </w:pPr>
            <w:r>
              <w:rPr>
                <w:rFonts w:hint="eastAsia"/>
                <w:color w:val="000000" w:themeColor="text1"/>
                <w:spacing w:val="23"/>
                <w14:textFill>
                  <w14:solidFill>
                    <w14:schemeClr w14:val="tx1"/>
                  </w14:solidFill>
                </w14:textFill>
              </w:rPr>
              <w:t>其他依法应列为委托方（转让方）</w:t>
            </w:r>
            <w:r>
              <w:rPr>
                <w:rFonts w:hint="eastAsia"/>
                <w:color w:val="000000" w:themeColor="text1"/>
                <w:spacing w:val="23"/>
                <w:lang w:val="en-US" w:eastAsia="zh-Hans"/>
                <w14:textFill>
                  <w14:solidFill>
                    <w14:schemeClr w14:val="tx1"/>
                  </w14:solidFill>
                </w14:textFill>
              </w:rPr>
              <w:t>较重</w:t>
            </w:r>
            <w:r>
              <w:rPr>
                <w:rFonts w:hint="eastAsia"/>
                <w:color w:val="000000" w:themeColor="text1"/>
                <w:spacing w:val="23"/>
                <w14:textFill>
                  <w14:solidFill>
                    <w14:schemeClr w14:val="tx1"/>
                  </w14:solidFill>
                </w14:textFill>
              </w:rPr>
              <w:t>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50" w:line="224" w:lineRule="auto"/>
              <w:ind w:left="14" w:leftChars="0"/>
              <w:jc w:val="both"/>
              <w:rPr>
                <w:rFonts w:hint="default"/>
                <w:color w:val="000000" w:themeColor="text1"/>
                <w:spacing w:val="28"/>
                <w14:textFill>
                  <w14:solidFill>
                    <w14:schemeClr w14:val="tx1"/>
                  </w14:solidFill>
                </w14:textFill>
              </w:rPr>
            </w:pPr>
            <w:r>
              <w:rPr>
                <w:rFonts w:hint="eastAsia"/>
                <w:color w:val="000000" w:themeColor="text1"/>
                <w:spacing w:val="28"/>
                <w14:textFill>
                  <w14:solidFill>
                    <w14:schemeClr w14:val="tx1"/>
                  </w14:solidFill>
                </w14:textFill>
              </w:rPr>
              <w:t>未按规定落实转让标的企业的债权债务，非法转移债权或者逃避债务清偿责任的；以企业国有产权作为担保的，转让该国有产权时未经担保权人同意</w:t>
            </w:r>
            <w:r>
              <w:rPr>
                <w:rFonts w:hint="default"/>
                <w:color w:val="000000" w:themeColor="text1"/>
                <w:spacing w:val="28"/>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50" w:line="224" w:lineRule="auto"/>
              <w:ind w:left="14"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8"/>
                <w14:textFill>
                  <w14:solidFill>
                    <w14:schemeClr w14:val="tx1"/>
                  </w14:solidFill>
                </w14:textFill>
              </w:rPr>
              <w:t>提供虚假资料或者故意隐瞒交易标的瑕疵的。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45" w:line="225" w:lineRule="auto"/>
              <w:ind w:left="17"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交易合同签订后，违反交易规则及交易合同约定，无正当理由拖延或阻碍标的交割的。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2" w:line="223" w:lineRule="auto"/>
              <w:ind w:left="20"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5"/>
                <w14:textFill>
                  <w14:solidFill>
                    <w14:schemeClr w14:val="tx1"/>
                  </w14:solidFill>
                </w14:textFill>
              </w:rPr>
              <w:t>与竞买方串通损害国家利益</w:t>
            </w:r>
            <w:r>
              <w:rPr>
                <w:color w:val="000000" w:themeColor="text1"/>
                <w:spacing w:val="-55"/>
                <w14:textFill>
                  <w14:solidFill>
                    <w14:schemeClr w14:val="tx1"/>
                  </w14:solidFill>
                </w14:textFill>
              </w:rPr>
              <w:t xml:space="preserve"> </w:t>
            </w:r>
            <w:r>
              <w:rPr>
                <w:color w:val="000000" w:themeColor="text1"/>
                <w:spacing w:val="25"/>
                <w14:textFill>
                  <w14:solidFill>
                    <w14:schemeClr w14:val="tx1"/>
                  </w14:solidFill>
                </w14:textFill>
              </w:rPr>
              <w:t>、社会公共利益或者他人合法</w:t>
            </w:r>
            <w:r>
              <w:rPr>
                <w:color w:val="000000" w:themeColor="text1"/>
                <w:spacing w:val="24"/>
                <w14:textFill>
                  <w14:solidFill>
                    <w14:schemeClr w14:val="tx1"/>
                  </w14:solidFill>
                </w14:textFill>
              </w:rPr>
              <w:t>权益的。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57" w:line="265" w:lineRule="exact"/>
              <w:ind w:left="7"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ascii="宋体" w:hAnsi="宋体" w:eastAsia="宋体" w:cs="宋体"/>
                <w:color w:val="000000" w:themeColor="text1"/>
                <w:spacing w:val="23"/>
                <w:position w:val="1"/>
                <w14:textFill>
                  <w14:solidFill>
                    <w14:schemeClr w14:val="tx1"/>
                  </w14:solidFill>
                </w14:textFill>
              </w:rPr>
              <w:t>采</w:t>
            </w:r>
            <w:r>
              <w:rPr>
                <w:color w:val="000000" w:themeColor="text1"/>
                <w:spacing w:val="23"/>
                <w:position w:val="1"/>
                <w14:textFill>
                  <w14:solidFill>
                    <w14:schemeClr w14:val="tx1"/>
                  </w14:solidFill>
                </w14:textFill>
              </w:rPr>
              <w:t>取行贿</w:t>
            </w:r>
            <w:r>
              <w:rPr>
                <w:color w:val="000000" w:themeColor="text1"/>
                <w:spacing w:val="-29"/>
                <w:position w:val="1"/>
                <w14:textFill>
                  <w14:solidFill>
                    <w14:schemeClr w14:val="tx1"/>
                  </w14:solidFill>
                </w14:textFill>
              </w:rPr>
              <w:t xml:space="preserve"> </w:t>
            </w:r>
            <w:r>
              <w:rPr>
                <w:color w:val="000000" w:themeColor="text1"/>
                <w:spacing w:val="23"/>
                <w:position w:val="1"/>
                <w14:textFill>
                  <w14:solidFill>
                    <w14:schemeClr w14:val="tx1"/>
                  </w14:solidFill>
                </w14:textFill>
              </w:rPr>
              <w:t>、提供回扣</w:t>
            </w:r>
            <w:r>
              <w:rPr>
                <w:color w:val="000000" w:themeColor="text1"/>
                <w:spacing w:val="-55"/>
                <w:position w:val="1"/>
                <w14:textFill>
                  <w14:solidFill>
                    <w14:schemeClr w14:val="tx1"/>
                  </w14:solidFill>
                </w14:textFill>
              </w:rPr>
              <w:t xml:space="preserve"> </w:t>
            </w:r>
            <w:r>
              <w:rPr>
                <w:color w:val="000000" w:themeColor="text1"/>
                <w:spacing w:val="23"/>
                <w:position w:val="1"/>
                <w14:textFill>
                  <w14:solidFill>
                    <w14:schemeClr w14:val="tx1"/>
                  </w14:solidFill>
                </w14:textFill>
              </w:rPr>
              <w:t>、</w:t>
            </w:r>
            <w:r>
              <w:rPr>
                <w:color w:val="000000" w:themeColor="text1"/>
                <w:spacing w:val="-48"/>
                <w:position w:val="1"/>
                <w14:textFill>
                  <w14:solidFill>
                    <w14:schemeClr w14:val="tx1"/>
                  </w14:solidFill>
                </w14:textFill>
              </w:rPr>
              <w:t xml:space="preserve"> </w:t>
            </w:r>
            <w:r>
              <w:rPr>
                <w:color w:val="000000" w:themeColor="text1"/>
                <w:spacing w:val="23"/>
                <w:position w:val="1"/>
                <w14:textFill>
                  <w14:solidFill>
                    <w14:schemeClr w14:val="tx1"/>
                  </w14:solidFill>
                </w14:textFill>
              </w:rPr>
              <w:t>分成或者给予其他不正当利益等手段干扰交易活动的。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0" w:line="223" w:lineRule="auto"/>
              <w:ind w:left="14" w:leftChars="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5"/>
                <w14:textFill>
                  <w14:solidFill>
                    <w14:schemeClr w14:val="tx1"/>
                  </w14:solidFill>
                </w14:textFill>
              </w:rPr>
              <w:t>其他依法应列为委托方（转让方）</w:t>
            </w:r>
            <w:r>
              <w:rPr>
                <w:color w:val="000000" w:themeColor="text1"/>
                <w:spacing w:val="-46"/>
                <w14:textFill>
                  <w14:solidFill>
                    <w14:schemeClr w14:val="tx1"/>
                  </w14:solidFill>
                </w14:textFill>
              </w:rPr>
              <w:t xml:space="preserve"> </w:t>
            </w:r>
            <w:r>
              <w:rPr>
                <w:color w:val="000000" w:themeColor="text1"/>
                <w:spacing w:val="25"/>
                <w14:textFill>
                  <w14:solidFill>
                    <w14:schemeClr w14:val="tx1"/>
                  </w14:solidFill>
                </w14:textFill>
              </w:rPr>
              <w:t>严重</w:t>
            </w:r>
            <w:r>
              <w:rPr>
                <w:color w:val="000000" w:themeColor="text1"/>
                <w:spacing w:val="24"/>
                <w14:textFill>
                  <w14:solidFill>
                    <w14:schemeClr w14:val="tx1"/>
                  </w14:solidFill>
                </w14:textFill>
              </w:rPr>
              <w:t>不良行为的。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jc w:val="center"/>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4.</w:t>
      </w:r>
      <w:r>
        <w:rPr>
          <w:rFonts w:hint="default"/>
          <w:b/>
          <w:bCs/>
          <w:color w:val="000000" w:themeColor="text1"/>
          <w:sz w:val="28"/>
          <w:szCs w:val="28"/>
          <w:lang w:val="en-US" w:eastAsia="zh-CN"/>
          <w14:textFill>
            <w14:solidFill>
              <w14:schemeClr w14:val="tx1"/>
            </w14:solidFill>
          </w14:textFill>
        </w:rPr>
        <w:t>产权受让方（竞买人）及</w:t>
      </w:r>
      <w:r>
        <w:rPr>
          <w:rFonts w:hint="eastAsia"/>
          <w:b/>
          <w:bCs/>
          <w:color w:val="000000" w:themeColor="text1"/>
          <w:sz w:val="28"/>
          <w:szCs w:val="28"/>
          <w:lang w:val="en-US" w:eastAsia="zh-Hans"/>
          <w14:textFill>
            <w14:solidFill>
              <w14:schemeClr w14:val="tx1"/>
            </w14:solidFill>
          </w14:textFill>
        </w:rPr>
        <w:t>其</w:t>
      </w:r>
      <w:r>
        <w:rPr>
          <w:rFonts w:hint="default"/>
          <w:b/>
          <w:bCs/>
          <w:color w:val="000000" w:themeColor="text1"/>
          <w:sz w:val="28"/>
          <w:szCs w:val="28"/>
          <w:lang w:val="en-US" w:eastAsia="zh-CN"/>
          <w14:textFill>
            <w14:solidFill>
              <w14:schemeClr w14:val="tx1"/>
            </w14:solidFill>
          </w14:textFill>
        </w:rPr>
        <w:t>从业人员信用信息记录量化记分标准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eastAsia"/>
                <w:color w:val="000000" w:themeColor="text1"/>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3" w:lineRule="auto"/>
              <w:ind w:left="20"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3"/>
                <w14:textFill>
                  <w14:solidFill>
                    <w14:schemeClr w14:val="tx1"/>
                  </w14:solidFill>
                </w14:textFill>
              </w:rPr>
              <w:t>与委托方存在利害关系可能影响交易公正性的法人</w:t>
            </w:r>
            <w:r>
              <w:rPr>
                <w:color w:val="000000" w:themeColor="text1"/>
                <w:spacing w:val="-55"/>
                <w14:textFill>
                  <w14:solidFill>
                    <w14:schemeClr w14:val="tx1"/>
                  </w14:solidFill>
                </w14:textFill>
              </w:rPr>
              <w:t xml:space="preserve"> </w:t>
            </w:r>
            <w:r>
              <w:rPr>
                <w:color w:val="000000" w:themeColor="text1"/>
                <w:spacing w:val="22"/>
                <w14:textFill>
                  <w14:solidFill>
                    <w14:schemeClr w14:val="tx1"/>
                  </w14:solidFill>
                </w14:textFill>
              </w:rPr>
              <w:t>、</w:t>
            </w:r>
            <w:r>
              <w:rPr>
                <w:color w:val="000000" w:themeColor="text1"/>
                <w:spacing w:val="-48"/>
                <w14:textFill>
                  <w14:solidFill>
                    <w14:schemeClr w14:val="tx1"/>
                  </w14:solidFill>
                </w14:textFill>
              </w:rPr>
              <w:t xml:space="preserve"> </w:t>
            </w:r>
            <w:r>
              <w:rPr>
                <w:color w:val="000000" w:themeColor="text1"/>
                <w:spacing w:val="22"/>
                <w14:textFill>
                  <w14:solidFill>
                    <w14:schemeClr w14:val="tx1"/>
                  </w14:solidFill>
                </w14:textFill>
              </w:rPr>
              <w:t>其他组织或者个人</w:t>
            </w:r>
            <w:r>
              <w:rPr>
                <w:color w:val="000000" w:themeColor="text1"/>
                <w:spacing w:val="-56"/>
                <w14:textFill>
                  <w14:solidFill>
                    <w14:schemeClr w14:val="tx1"/>
                  </w14:solidFill>
                </w14:textFill>
              </w:rPr>
              <w:t xml:space="preserve"> </w:t>
            </w:r>
            <w:r>
              <w:rPr>
                <w:color w:val="000000" w:themeColor="text1"/>
                <w:spacing w:val="22"/>
                <w14:textFill>
                  <w14:solidFill>
                    <w14:schemeClr w14:val="tx1"/>
                  </w14:solidFill>
                </w14:textFill>
              </w:rPr>
              <w:t>，</w:t>
            </w:r>
            <w:r>
              <w:rPr>
                <w:color w:val="000000" w:themeColor="text1"/>
                <w:spacing w:val="-46"/>
                <w14:textFill>
                  <w14:solidFill>
                    <w14:schemeClr w14:val="tx1"/>
                  </w14:solidFill>
                </w14:textFill>
              </w:rPr>
              <w:t xml:space="preserve"> </w:t>
            </w:r>
            <w:r>
              <w:rPr>
                <w:color w:val="000000" w:themeColor="text1"/>
                <w:spacing w:val="22"/>
                <w14:textFill>
                  <w14:solidFill>
                    <w14:schemeClr w14:val="tx1"/>
                  </w14:solidFill>
                </w14:textFill>
              </w:rPr>
              <w:t>参加竞买的。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59" w:line="223" w:lineRule="auto"/>
              <w:ind w:left="16"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2"/>
                <w14:textFill>
                  <w14:solidFill>
                    <w14:schemeClr w14:val="tx1"/>
                  </w14:solidFill>
                </w14:textFill>
              </w:rPr>
              <w:t>单位负责人为同</w:t>
            </w:r>
            <w:r>
              <w:rPr>
                <w:color w:val="000000" w:themeColor="text1"/>
                <w:spacing w:val="-52"/>
                <w14:textFill>
                  <w14:solidFill>
                    <w14:schemeClr w14:val="tx1"/>
                  </w14:solidFill>
                </w14:textFill>
              </w:rPr>
              <w:t xml:space="preserve"> </w:t>
            </w:r>
            <w:r>
              <w:rPr>
                <w:color w:val="000000" w:themeColor="text1"/>
                <w:spacing w:val="22"/>
                <w14:textFill>
                  <w14:solidFill>
                    <w14:schemeClr w14:val="tx1"/>
                  </w14:solidFill>
                </w14:textFill>
              </w:rPr>
              <w:t>一人或者存在控股</w:t>
            </w:r>
            <w:r>
              <w:rPr>
                <w:color w:val="000000" w:themeColor="text1"/>
                <w:spacing w:val="-56"/>
                <w14:textFill>
                  <w14:solidFill>
                    <w14:schemeClr w14:val="tx1"/>
                  </w14:solidFill>
                </w14:textFill>
              </w:rPr>
              <w:t xml:space="preserve"> </w:t>
            </w:r>
            <w:r>
              <w:rPr>
                <w:color w:val="000000" w:themeColor="text1"/>
                <w:spacing w:val="22"/>
                <w14:textFill>
                  <w14:solidFill>
                    <w14:schemeClr w14:val="tx1"/>
                  </w14:solidFill>
                </w14:textFill>
              </w:rPr>
              <w:t>、</w:t>
            </w:r>
            <w:r>
              <w:rPr>
                <w:color w:val="000000" w:themeColor="text1"/>
                <w:spacing w:val="-38"/>
                <w14:textFill>
                  <w14:solidFill>
                    <w14:schemeClr w14:val="tx1"/>
                  </w14:solidFill>
                </w14:textFill>
              </w:rPr>
              <w:t xml:space="preserve"> </w:t>
            </w:r>
            <w:r>
              <w:rPr>
                <w:color w:val="000000" w:themeColor="text1"/>
                <w:spacing w:val="22"/>
                <w14:textFill>
                  <w14:solidFill>
                    <w14:schemeClr w14:val="tx1"/>
                  </w14:solidFill>
                </w14:textFill>
              </w:rPr>
              <w:t>管理关系的不同单位</w:t>
            </w:r>
            <w:r>
              <w:rPr>
                <w:color w:val="000000" w:themeColor="text1"/>
                <w:spacing w:val="-41"/>
                <w14:textFill>
                  <w14:solidFill>
                    <w14:schemeClr w14:val="tx1"/>
                  </w14:solidFill>
                </w14:textFill>
              </w:rPr>
              <w:t xml:space="preserve"> </w:t>
            </w:r>
            <w:r>
              <w:rPr>
                <w:color w:val="000000" w:themeColor="text1"/>
                <w:spacing w:val="22"/>
                <w14:textFill>
                  <w14:solidFill>
                    <w14:schemeClr w14:val="tx1"/>
                  </w14:solidFill>
                </w14:textFill>
              </w:rPr>
              <w:t>，参加同一项目竞买的。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0" w:line="224" w:lineRule="auto"/>
              <w:ind w:left="18"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3"/>
                <w14:textFill>
                  <w14:solidFill>
                    <w14:schemeClr w14:val="tx1"/>
                  </w14:solidFill>
                </w14:textFill>
              </w:rPr>
              <w:t>发生合并</w:t>
            </w:r>
            <w:r>
              <w:rPr>
                <w:color w:val="000000" w:themeColor="text1"/>
                <w:spacing w:val="-22"/>
                <w14:textFill>
                  <w14:solidFill>
                    <w14:schemeClr w14:val="tx1"/>
                  </w14:solidFill>
                </w14:textFill>
              </w:rPr>
              <w:t xml:space="preserve"> </w:t>
            </w:r>
            <w:r>
              <w:rPr>
                <w:color w:val="000000" w:themeColor="text1"/>
                <w:spacing w:val="23"/>
                <w14:textFill>
                  <w14:solidFill>
                    <w14:schemeClr w14:val="tx1"/>
                  </w14:solidFill>
                </w14:textFill>
              </w:rPr>
              <w:t>、分立</w:t>
            </w:r>
            <w:r>
              <w:rPr>
                <w:color w:val="000000" w:themeColor="text1"/>
                <w:spacing w:val="-41"/>
                <w14:textFill>
                  <w14:solidFill>
                    <w14:schemeClr w14:val="tx1"/>
                  </w14:solidFill>
                </w14:textFill>
              </w:rPr>
              <w:t xml:space="preserve"> </w:t>
            </w:r>
            <w:r>
              <w:rPr>
                <w:color w:val="000000" w:themeColor="text1"/>
                <w:spacing w:val="23"/>
                <w14:textFill>
                  <w14:solidFill>
                    <w14:schemeClr w14:val="tx1"/>
                  </w14:solidFill>
                </w14:textFill>
              </w:rPr>
              <w:t>、破产等重大变化后不及时书面告知</w:t>
            </w:r>
            <w:r>
              <w:rPr>
                <w:rFonts w:hint="eastAsia"/>
                <w:color w:val="000000" w:themeColor="text1"/>
                <w:spacing w:val="23"/>
                <w:lang w:val="en-US" w:eastAsia="zh-Hans"/>
                <w14:textFill>
                  <w14:solidFill>
                    <w14:schemeClr w14:val="tx1"/>
                  </w14:solidFill>
                </w14:textFill>
              </w:rPr>
              <w:t>省公共资源交易平台运行服务机构</w:t>
            </w:r>
            <w:r>
              <w:rPr>
                <w:color w:val="000000" w:themeColor="text1"/>
                <w:spacing w:val="23"/>
                <w14:textFill>
                  <w14:solidFill>
                    <w14:schemeClr w14:val="tx1"/>
                  </w14:solidFill>
                </w14:textFill>
              </w:rPr>
              <w:t>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46" w:line="224"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23"/>
                <w:lang w:val="en-US" w:eastAsia="zh-Hans"/>
                <w14:textFill>
                  <w14:solidFill>
                    <w14:schemeClr w14:val="tx1"/>
                  </w14:solidFill>
                </w14:textFill>
              </w:rPr>
              <w:t>行政监督管理部门</w:t>
            </w:r>
            <w:r>
              <w:rPr>
                <w:color w:val="000000" w:themeColor="text1"/>
                <w:spacing w:val="22"/>
                <w14:textFill>
                  <w14:solidFill>
                    <w14:schemeClr w14:val="tx1"/>
                  </w14:solidFill>
                </w14:textFill>
              </w:rPr>
              <w:t>认为竞买人应作出必要澄清</w:t>
            </w:r>
            <w:r>
              <w:rPr>
                <w:color w:val="000000" w:themeColor="text1"/>
                <w:spacing w:val="-35"/>
                <w14:textFill>
                  <w14:solidFill>
                    <w14:schemeClr w14:val="tx1"/>
                  </w14:solidFill>
                </w14:textFill>
              </w:rPr>
              <w:t xml:space="preserve"> </w:t>
            </w:r>
            <w:r>
              <w:rPr>
                <w:color w:val="000000" w:themeColor="text1"/>
                <w:spacing w:val="22"/>
                <w14:textFill>
                  <w14:solidFill>
                    <w14:schemeClr w14:val="tx1"/>
                  </w14:solidFill>
                </w14:textFill>
              </w:rPr>
              <w:t>、说明</w:t>
            </w:r>
            <w:r>
              <w:rPr>
                <w:color w:val="000000" w:themeColor="text1"/>
                <w:spacing w:val="-41"/>
                <w14:textFill>
                  <w14:solidFill>
                    <w14:schemeClr w14:val="tx1"/>
                  </w14:solidFill>
                </w14:textFill>
              </w:rPr>
              <w:t xml:space="preserve"> </w:t>
            </w:r>
            <w:r>
              <w:rPr>
                <w:color w:val="000000" w:themeColor="text1"/>
                <w:spacing w:val="22"/>
                <w14:textFill>
                  <w14:solidFill>
                    <w14:schemeClr w14:val="tx1"/>
                  </w14:solidFill>
                </w14:textFill>
              </w:rPr>
              <w:t>，</w:t>
            </w:r>
            <w:r>
              <w:rPr>
                <w:color w:val="000000" w:themeColor="text1"/>
                <w:spacing w:val="-58"/>
                <w14:textFill>
                  <w14:solidFill>
                    <w14:schemeClr w14:val="tx1"/>
                  </w14:solidFill>
                </w14:textFill>
              </w:rPr>
              <w:t xml:space="preserve"> </w:t>
            </w:r>
            <w:r>
              <w:rPr>
                <w:color w:val="000000" w:themeColor="text1"/>
                <w:spacing w:val="22"/>
                <w14:textFill>
                  <w14:solidFill>
                    <w14:schemeClr w14:val="tx1"/>
                  </w14:solidFill>
                </w14:textFill>
              </w:rPr>
              <w:t>竞买人不按规定进行澄清</w:t>
            </w:r>
            <w:r>
              <w:rPr>
                <w:color w:val="000000" w:themeColor="text1"/>
                <w:spacing w:val="-41"/>
                <w14:textFill>
                  <w14:solidFill>
                    <w14:schemeClr w14:val="tx1"/>
                  </w14:solidFill>
                </w14:textFill>
              </w:rPr>
              <w:t xml:space="preserve"> </w:t>
            </w:r>
            <w:r>
              <w:rPr>
                <w:color w:val="000000" w:themeColor="text1"/>
                <w:spacing w:val="22"/>
                <w14:textFill>
                  <w14:solidFill>
                    <w14:schemeClr w14:val="tx1"/>
                  </w14:solidFill>
                </w14:textFill>
              </w:rPr>
              <w:t>、说明的。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47" w:line="225"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2"/>
                <w14:textFill>
                  <w14:solidFill>
                    <w14:schemeClr w14:val="tx1"/>
                  </w14:solidFill>
                </w14:textFill>
              </w:rPr>
              <w:t>其他依法应列为竞买人（受让方）一般不良行为的。</w:t>
            </w:r>
          </w:p>
        </w:tc>
        <w:tc>
          <w:tcPr>
            <w:tcW w:w="1818" w:type="dxa"/>
            <w:vAlign w:val="center"/>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eastAsia" w:ascii="仿宋" w:hAnsi="仿宋" w:eastAsia="仿宋" w:cs="仿宋"/>
                <w:color w:val="000000" w:themeColor="text1"/>
                <w:spacing w:val="8"/>
                <w:kern w:val="2"/>
                <w:sz w:val="20"/>
                <w:szCs w:val="20"/>
                <w:lang w:val="en-US" w:eastAsia="zh-Han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18" w:line="224" w:lineRule="auto"/>
              <w:ind w:left="12" w:leftChars="0" w:right="30" w:rightChars="0" w:firstLine="2" w:firstLine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在参与交易的过程中采取不正当方式，对转让方、融资方、其他投资人</w:t>
            </w:r>
            <w:r>
              <w:rPr>
                <w:rFonts w:hint="eastAsia"/>
                <w:color w:val="000000" w:themeColor="text1"/>
                <w:spacing w:val="10"/>
                <w:lang w:val="en-US" w:eastAsia="zh-Hans"/>
                <w14:textFill>
                  <w14:solidFill>
                    <w14:schemeClr w14:val="tx1"/>
                  </w14:solidFill>
                </w14:textFill>
              </w:rPr>
              <w:t>以及</w:t>
            </w:r>
            <w:r>
              <w:rPr>
                <w:rFonts w:hint="eastAsia"/>
                <w:color w:val="000000" w:themeColor="text1"/>
                <w:spacing w:val="9"/>
                <w:lang w:val="en-US" w:eastAsia="zh-Hans"/>
                <w14:textFill>
                  <w14:solidFill>
                    <w14:schemeClr w14:val="tx1"/>
                  </w14:solidFill>
                </w14:textFill>
              </w:rPr>
              <w:t>平台运行服务机构</w:t>
            </w:r>
            <w:r>
              <w:rPr>
                <w:color w:val="000000" w:themeColor="text1"/>
                <w:spacing w:val="9"/>
                <w14:textFill>
                  <w14:solidFill>
                    <w14:schemeClr w14:val="tx1"/>
                  </w14:solidFill>
                </w14:textFill>
              </w:rPr>
              <w:t>工作人员、</w:t>
            </w:r>
            <w:r>
              <w:rPr>
                <w:rFonts w:hint="eastAsia"/>
                <w:color w:val="000000" w:themeColor="text1"/>
                <w:spacing w:val="9"/>
                <w:lang w:val="en-US" w:eastAsia="zh-Hans"/>
                <w14:textFill>
                  <w14:solidFill>
                    <w14:schemeClr w14:val="tx1"/>
                  </w14:solidFill>
                </w14:textFill>
              </w:rPr>
              <w:t>行政监督管理部门工作人员或</w:t>
            </w:r>
            <w:r>
              <w:rPr>
                <w:color w:val="000000" w:themeColor="text1"/>
                <w:spacing w:val="9"/>
                <w14:textFill>
                  <w14:solidFill>
                    <w14:schemeClr w14:val="tx1"/>
                  </w14:solidFill>
                </w14:textFill>
              </w:rPr>
              <w:t>其他相关人员</w:t>
            </w:r>
            <w:r>
              <w:rPr>
                <w:color w:val="000000" w:themeColor="text1"/>
                <w:spacing w:val="5"/>
                <w14:textFill>
                  <w14:solidFill>
                    <w14:schemeClr w14:val="tx1"/>
                  </w14:solidFill>
                </w14:textFill>
              </w:rPr>
              <w:t>施加影响的。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64" w:line="223" w:lineRule="auto"/>
              <w:ind w:left="12"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针对在</w:t>
            </w:r>
            <w:r>
              <w:rPr>
                <w:rFonts w:hint="eastAsia"/>
                <w:color w:val="000000" w:themeColor="text1"/>
                <w:spacing w:val="10"/>
                <w:lang w:val="en-US" w:eastAsia="zh-Hans"/>
                <w14:textFill>
                  <w14:solidFill>
                    <w14:schemeClr w14:val="tx1"/>
                  </w14:solidFill>
                </w14:textFill>
              </w:rPr>
              <w:t>省公共资源交易平台</w:t>
            </w:r>
            <w:r>
              <w:rPr>
                <w:color w:val="000000" w:themeColor="text1"/>
                <w:spacing w:val="10"/>
                <w14:textFill>
                  <w14:solidFill>
                    <w14:schemeClr w14:val="tx1"/>
                  </w14:solidFill>
                </w14:textFill>
              </w:rPr>
              <w:t>进行的交易项目，采取</w:t>
            </w:r>
            <w:r>
              <w:rPr>
                <w:color w:val="000000" w:themeColor="text1"/>
                <w:spacing w:val="9"/>
                <w14:textFill>
                  <w14:solidFill>
                    <w14:schemeClr w14:val="tx1"/>
                  </w14:solidFill>
                </w14:textFill>
              </w:rPr>
              <w:t>闹访、缠访、寻衅滋事等手段扰乱交易秩序或工作秩序的。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4" w:line="226" w:lineRule="auto"/>
              <w:ind w:left="17"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6"/>
                <w14:textFill>
                  <w14:solidFill>
                    <w14:schemeClr w14:val="tx1"/>
                  </w14:solidFill>
                </w14:textFill>
              </w:rPr>
              <w:t>不配合投诉调查处理或者案件查办。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6" w:line="225" w:lineRule="auto"/>
              <w:ind w:left="3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以他人名义、借用资质参加竞买报名的。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66" w:line="225" w:lineRule="auto"/>
              <w:ind w:left="12"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用威胁、恐吓或其他非法手段阻止他人竞买报名的。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2" w:line="226" w:lineRule="auto"/>
              <w:ind w:left="15"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lang w:val="en-US" w:eastAsia="zh-Hans"/>
                <w14:textFill>
                  <w14:solidFill>
                    <w14:schemeClr w14:val="tx1"/>
                  </w14:solidFill>
                </w14:textFill>
              </w:rPr>
              <w:t>恶意</w:t>
            </w:r>
            <w:r>
              <w:rPr>
                <w:color w:val="000000" w:themeColor="text1"/>
                <w:spacing w:val="7"/>
                <w14:textFill>
                  <w14:solidFill>
                    <w14:schemeClr w14:val="tx1"/>
                  </w14:solidFill>
                </w14:textFill>
              </w:rPr>
              <w:t>投诉6个月内累计超过2次（含2次）、一年内累计超过3次（含3次）</w:t>
            </w:r>
            <w:r>
              <w:rPr>
                <w:color w:val="000000" w:themeColor="text1"/>
                <w:spacing w:val="-48"/>
                <w14:textFill>
                  <w14:solidFill>
                    <w14:schemeClr w14:val="tx1"/>
                  </w14:solidFill>
                </w14:textFill>
              </w:rPr>
              <w:t xml:space="preserve"> </w:t>
            </w:r>
            <w:r>
              <w:rPr>
                <w:color w:val="000000" w:themeColor="text1"/>
                <w:spacing w:val="7"/>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52" w:line="226" w:lineRule="auto"/>
              <w:ind w:left="15" w:leftChars="0"/>
              <w:jc w:val="both"/>
              <w:rPr>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其他依法应列为竞买人（受让方）</w:t>
            </w:r>
            <w:r>
              <w:rPr>
                <w:rFonts w:hint="eastAsia"/>
                <w:color w:val="000000" w:themeColor="text1"/>
                <w:spacing w:val="7"/>
                <w:lang w:val="en-US" w:eastAsia="zh-Hans"/>
                <w14:textFill>
                  <w14:solidFill>
                    <w14:schemeClr w14:val="tx1"/>
                  </w14:solidFill>
                </w14:textFill>
              </w:rPr>
              <w:t>较重</w:t>
            </w:r>
            <w:r>
              <w:rPr>
                <w:rFonts w:hint="eastAsia"/>
                <w:color w:val="000000" w:themeColor="text1"/>
                <w:spacing w:val="7"/>
                <w14:textFill>
                  <w14:solidFill>
                    <w14:schemeClr w14:val="tx1"/>
                  </w14:solidFill>
                </w14:textFill>
              </w:rPr>
              <w:t>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4"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采取提供虚假资料或进行虚假陈述或其他欺诈、隐瞒等手段获取受让或报名资格的。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15" w:line="225" w:lineRule="auto"/>
              <w:ind w:left="17" w:leftChars="0" w:right="32" w:rightChars="0" w:hanging="3" w:firstLine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10"/>
                <w14:textFill>
                  <w14:solidFill>
                    <w14:schemeClr w14:val="tx1"/>
                  </w14:solidFill>
                </w14:textFill>
              </w:rPr>
              <w:t>在参与竞价的过程中，采取恶意串通、欺诈、胁迫等手段压低价格</w:t>
            </w:r>
            <w:r>
              <w:rPr>
                <w:color w:val="000000" w:themeColor="text1"/>
                <w:spacing w:val="9"/>
                <w14:textFill>
                  <w14:solidFill>
                    <w14:schemeClr w14:val="tx1"/>
                  </w14:solidFill>
                </w14:textFill>
              </w:rPr>
              <w:t>，造成或可能造成国有资产流失或转让方、融资</w:t>
            </w:r>
            <w:r>
              <w:rPr>
                <w:color w:val="000000" w:themeColor="text1"/>
                <w:spacing w:val="7"/>
                <w14:textFill>
                  <w14:solidFill>
                    <w14:schemeClr w14:val="tx1"/>
                  </w14:solidFill>
                </w14:textFill>
              </w:rPr>
              <w:t>方、其他投资人利益受损的。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2" w:line="226"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采取不正当方式，妨碍公平交易，扰乱交易秩序，无正当理由拖延或拒绝交易合同签订的。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4" w:line="225" w:lineRule="auto"/>
              <w:ind w:left="17"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交易合同签订后，违反交易规则及交易合同约定，无正当理由拖延或阻碍标的交割或不按合同约定支付价款的。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49" w:line="223"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违反交易规则及交易委托合同的约定，与转让方私下成交的。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1" w:line="223" w:lineRule="auto"/>
              <w:ind w:left="16"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存在与交易相关的违法行为，被依法追究刑事责任或被行</w:t>
            </w:r>
            <w:r>
              <w:rPr>
                <w:color w:val="000000" w:themeColor="text1"/>
                <w:spacing w:val="8"/>
                <w14:textFill>
                  <w14:solidFill>
                    <w14:schemeClr w14:val="tx1"/>
                  </w14:solidFill>
                </w14:textFill>
              </w:rPr>
              <w:t>政处罚的。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pStyle w:val="12"/>
              <w:spacing w:before="52" w:line="225" w:lineRule="auto"/>
              <w:ind w:left="14" w:lef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23"/>
                <w14:textFill>
                  <w14:solidFill>
                    <w14:schemeClr w14:val="tx1"/>
                  </w14:solidFill>
                </w14:textFill>
              </w:rPr>
              <w:t>其他依法应列为竞买人（受让方）严重不良行为的。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rPr>
          <w:rFonts w:hint="eastAsia"/>
          <w:b/>
          <w:bCs/>
          <w:color w:val="000000" w:themeColor="text1"/>
          <w:sz w:val="28"/>
          <w:szCs w:val="28"/>
          <w:lang w:val="en-US" w:eastAsia="zh-Hans"/>
          <w14:textFill>
            <w14:solidFill>
              <w14:schemeClr w14:val="tx1"/>
            </w14:solidFill>
          </w14:textFill>
        </w:rPr>
      </w:pPr>
      <w:r>
        <w:rPr>
          <w:rFonts w:hint="eastAsia"/>
          <w:b/>
          <w:bCs/>
          <w:color w:val="000000" w:themeColor="text1"/>
          <w:sz w:val="28"/>
          <w:szCs w:val="28"/>
          <w:lang w:val="en-US" w:eastAsia="zh-Hans"/>
          <w14:textFill>
            <w14:solidFill>
              <w14:schemeClr w14:val="tx1"/>
            </w14:solidFill>
          </w14:textFill>
        </w:rPr>
        <w:br w:type="page"/>
      </w:r>
    </w:p>
    <w:p>
      <w:pPr>
        <w:pStyle w:val="5"/>
        <w:jc w:val="center"/>
        <w:rPr>
          <w:rFonts w:hint="eastAsia"/>
          <w:b/>
          <w:bCs/>
          <w:color w:val="000000" w:themeColor="text1"/>
          <w:sz w:val="28"/>
          <w:szCs w:val="28"/>
          <w:lang w:val="en-US" w:eastAsia="zh-Hans"/>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5.中介代理服务机构</w:t>
      </w:r>
      <w:r>
        <w:rPr>
          <w:rFonts w:hint="eastAsia"/>
          <w:b/>
          <w:bCs/>
          <w:color w:val="000000" w:themeColor="text1"/>
          <w:sz w:val="28"/>
          <w:szCs w:val="28"/>
          <w:lang w:val="en-US" w:eastAsia="zh-Hans"/>
          <w14:textFill>
            <w14:solidFill>
              <w14:schemeClr w14:val="tx1"/>
            </w14:solidFill>
          </w14:textFill>
        </w:rPr>
        <w:t>及其从业人员信用信息记录量化记分标准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444" w:type="dxa"/>
            <w:gridSpan w:val="3"/>
            <w:vAlign w:val="bottom"/>
          </w:tcPr>
          <w:p>
            <w:pPr>
              <w:pStyle w:val="5"/>
              <w:jc w:val="center"/>
              <w:rPr>
                <w:rFonts w:hint="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加</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分</w:t>
            </w:r>
            <w:r>
              <w:rPr>
                <w:rFonts w:hint="default"/>
                <w:b/>
                <w:bCs/>
                <w:color w:val="000000" w:themeColor="text1"/>
                <w:sz w:val="24"/>
                <w:szCs w:val="24"/>
                <w:vertAlign w:val="baseline"/>
                <w:lang w:eastAsia="zh-Hans"/>
                <w14:textFill>
                  <w14:solidFill>
                    <w14:schemeClr w14:val="tx1"/>
                  </w14:solidFill>
                </w14:textFill>
              </w:rPr>
              <w:t xml:space="preserve"> </w:t>
            </w:r>
            <w:r>
              <w:rPr>
                <w:rFonts w:hint="eastAsia"/>
                <w:b/>
                <w:bCs/>
                <w:color w:val="000000" w:themeColor="text1"/>
                <w:sz w:val="24"/>
                <w:szCs w:val="24"/>
                <w:vertAlign w:val="baseline"/>
                <w:lang w:val="en-US"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受到国家级表彰的得3分；受到省级表彰的得2分</w:t>
            </w:r>
            <w:r>
              <w:rPr>
                <w:rFonts w:hint="default"/>
                <w:color w:val="000000" w:themeColor="text1"/>
                <w:spacing w:val="7"/>
                <w14:textFill>
                  <w14:solidFill>
                    <w14:schemeClr w14:val="tx1"/>
                  </w14:solidFill>
                </w14:textFill>
              </w:rPr>
              <w:t>；</w:t>
            </w:r>
            <w:r>
              <w:rPr>
                <w:rFonts w:hint="eastAsia"/>
                <w:color w:val="000000" w:themeColor="text1"/>
                <w:spacing w:val="7"/>
                <w14:textFill>
                  <w14:solidFill>
                    <w14:schemeClr w14:val="tx1"/>
                  </w14:solidFill>
                </w14:textFill>
              </w:rPr>
              <w:t>受到市级表彰的得1分</w:t>
            </w:r>
            <w:r>
              <w:rPr>
                <w:rFonts w:hint="default"/>
                <w:color w:val="000000" w:themeColor="text1"/>
                <w:spacing w:val="7"/>
                <w14:textFill>
                  <w14:solidFill>
                    <w14:schemeClr w14:val="tx1"/>
                  </w14:solidFill>
                </w14:textFill>
              </w:rPr>
              <w:t>。</w:t>
            </w:r>
            <w:r>
              <w:rPr>
                <w:rFonts w:hint="eastAsia"/>
                <w:color w:val="000000" w:themeColor="text1"/>
                <w:spacing w:val="7"/>
                <w:lang w:val="en-US" w:eastAsia="zh-Hans"/>
                <w14:textFill>
                  <w14:solidFill>
                    <w14:schemeClr w14:val="tx1"/>
                  </w14:solidFill>
                </w14:textFill>
              </w:rPr>
              <w:t>同一表彰</w:t>
            </w:r>
            <w:r>
              <w:rPr>
                <w:rFonts w:hint="eastAsia"/>
                <w:color w:val="000000" w:themeColor="text1"/>
                <w:spacing w:val="7"/>
                <w14:textFill>
                  <w14:solidFill>
                    <w14:schemeClr w14:val="tx1"/>
                  </w14:solidFill>
                </w14:textFill>
              </w:rPr>
              <w:t>不累计加分。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pStyle w:val="12"/>
              <w:spacing w:before="44" w:line="227" w:lineRule="auto"/>
              <w:jc w:val="both"/>
              <w:rPr>
                <w:rFonts w:hint="eastAsia"/>
                <w:color w:val="000000" w:themeColor="text1"/>
                <w:spacing w:val="7"/>
                <w14:textFill>
                  <w14:solidFill>
                    <w14:schemeClr w14:val="tx1"/>
                  </w14:solidFill>
                </w14:textFill>
              </w:rPr>
            </w:pPr>
            <w:r>
              <w:rPr>
                <w:rFonts w:hint="eastAsia"/>
                <w:color w:val="000000" w:themeColor="text1"/>
                <w:spacing w:val="7"/>
                <w14:textFill>
                  <w14:solidFill>
                    <w14:schemeClr w14:val="tx1"/>
                  </w14:solidFill>
                </w14:textFill>
              </w:rPr>
              <w:t>上一年度评价考核为</w:t>
            </w:r>
            <w:r>
              <w:rPr>
                <w:rFonts w:hint="eastAsia"/>
                <w:color w:val="000000" w:themeColor="text1"/>
                <w:spacing w:val="7"/>
                <w:lang w:val="en" w:eastAsia="zh-CN"/>
                <w14:textFill>
                  <w14:solidFill>
                    <w14:schemeClr w14:val="tx1"/>
                  </w14:solidFill>
                </w14:textFill>
              </w:rPr>
              <w:t>AAA</w:t>
            </w:r>
            <w:r>
              <w:rPr>
                <w:rFonts w:hint="eastAsia"/>
                <w:color w:val="000000" w:themeColor="text1"/>
                <w:spacing w:val="7"/>
                <w14:textFill>
                  <w14:solidFill>
                    <w14:schemeClr w14:val="tx1"/>
                  </w14:solidFill>
                </w14:textFill>
              </w:rPr>
              <w:t>级的加2分。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spacing w:val="8"/>
                <w:kern w:val="2"/>
                <w:sz w:val="20"/>
                <w:szCs w:val="20"/>
                <w:lang w:eastAsia="en-US"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b w:val="0"/>
                <w:bCs w:val="0"/>
                <w:color w:val="000000" w:themeColor="text1"/>
                <w:vertAlign w:val="baseline"/>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both"/>
              <w:rPr>
                <w:rFonts w:hint="eastAsia" w:ascii="仿宋" w:hAnsi="仿宋" w:eastAsia="仿宋" w:cs="仿宋"/>
                <w:color w:val="000000" w:themeColor="text1"/>
                <w:kern w:val="2"/>
                <w:sz w:val="20"/>
                <w:szCs w:val="20"/>
                <w:lang w:val="en-US" w:eastAsia="zh-Hans" w:bidi="ar-SA"/>
                <w14:textFill>
                  <w14:solidFill>
                    <w14:schemeClr w14:val="tx1"/>
                  </w14:solidFill>
                </w14:textFill>
              </w:rPr>
            </w:pPr>
            <w:r>
              <w:rPr>
                <w:rFonts w:hint="eastAsia"/>
                <w:color w:val="000000" w:themeColor="text1"/>
                <w:spacing w:val="7"/>
                <w:lang w:eastAsia="zh-CN"/>
                <w14:textFill>
                  <w14:solidFill>
                    <w14:schemeClr w14:val="tx1"/>
                  </w14:solidFill>
                </w14:textFill>
              </w:rPr>
              <w:t>违反</w:t>
            </w:r>
            <w:r>
              <w:rPr>
                <w:rFonts w:hint="eastAsia"/>
                <w:color w:val="000000" w:themeColor="text1"/>
                <w:spacing w:val="7"/>
                <w14:textFill>
                  <w14:solidFill>
                    <w14:schemeClr w14:val="tx1"/>
                  </w14:solidFill>
                </w14:textFill>
              </w:rPr>
              <w:t>公共资源交易</w:t>
            </w:r>
            <w:r>
              <w:rPr>
                <w:rFonts w:hint="eastAsia"/>
                <w:color w:val="000000" w:themeColor="text1"/>
                <w:spacing w:val="7"/>
                <w:lang w:eastAsia="zh-CN"/>
                <w14:textFill>
                  <w14:solidFill>
                    <w14:schemeClr w14:val="tx1"/>
                  </w14:solidFill>
                </w14:textFill>
              </w:rPr>
              <w:t>平台</w:t>
            </w:r>
            <w:r>
              <w:rPr>
                <w:rFonts w:hint="eastAsia"/>
                <w:color w:val="000000" w:themeColor="text1"/>
                <w:spacing w:val="7"/>
                <w14:textFill>
                  <w14:solidFill>
                    <w14:schemeClr w14:val="tx1"/>
                  </w14:solidFill>
                </w14:textFill>
              </w:rPr>
              <w:t>运行</w:t>
            </w:r>
            <w:r>
              <w:rPr>
                <w:rFonts w:hint="eastAsia"/>
                <w:color w:val="000000" w:themeColor="text1"/>
                <w:spacing w:val="7"/>
                <w:lang w:eastAsia="zh-CN"/>
                <w14:textFill>
                  <w14:solidFill>
                    <w14:schemeClr w14:val="tx1"/>
                  </w14:solidFill>
                </w14:textFill>
              </w:rPr>
              <w:t>服务机构相关现场管理制度，拒不改正的</w:t>
            </w:r>
            <w:r>
              <w:rPr>
                <w:rFonts w:hint="eastAsia"/>
                <w:color w:val="000000" w:themeColor="text1"/>
                <w:spacing w:val="7"/>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2</w:t>
            </w:r>
          </w:p>
        </w:tc>
        <w:tc>
          <w:tcPr>
            <w:tcW w:w="10789" w:type="dxa"/>
            <w:vAlign w:val="center"/>
          </w:tcPr>
          <w:p>
            <w:pPr>
              <w:pStyle w:val="12"/>
              <w:spacing w:before="45" w:line="226" w:lineRule="auto"/>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依法公开招标（采购）的项目，不按照规定在指定媒介发布资格预审公告或者招标（采购）公告的。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3</w:t>
            </w:r>
          </w:p>
        </w:tc>
        <w:tc>
          <w:tcPr>
            <w:tcW w:w="10789" w:type="dxa"/>
            <w:vAlign w:val="center"/>
          </w:tcPr>
          <w:p>
            <w:pPr>
              <w:pStyle w:val="12"/>
              <w:spacing w:before="60" w:line="225"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eastAsia="en-US" w:bidi="ar-SA"/>
                <w14:textFill>
                  <w14:solidFill>
                    <w14:schemeClr w14:val="tx1"/>
                  </w14:solidFill>
                </w14:textFill>
              </w:rPr>
              <w:t>在不同媒介发布的同一招标（采购）项目的资格预审公告或招标（采购）公告的内容不一致、或出现错误信息（包含错字/错链），在公告或公示有效期内未及时更正造成不良影响的。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4</w:t>
            </w:r>
          </w:p>
        </w:tc>
        <w:tc>
          <w:tcPr>
            <w:tcW w:w="10789" w:type="dxa"/>
            <w:vAlign w:val="center"/>
          </w:tcPr>
          <w:p>
            <w:pPr>
              <w:pStyle w:val="12"/>
              <w:spacing w:before="61"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eastAsia="en-US" w:bidi="ar-SA"/>
                <w14:textFill>
                  <w14:solidFill>
                    <w14:schemeClr w14:val="tx1"/>
                  </w14:solidFill>
                </w14:textFill>
              </w:rPr>
              <w:t>依法必须招标（采购）的项目，不按规定使用国家或省级行政监督部门等制定的标准文本或示范文本编制资格预审文件、招标（采购）文件等；招标（采购）文件、澄清答疑文件中自行编辑的内容不符合相关法律法规规定或内容不全的，经质疑未及时进行澄清或者修改并导致投诉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5</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zh-Han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代理</w:t>
            </w:r>
            <w:r>
              <w:rPr>
                <w:rFonts w:hint="eastAsia" w:ascii="仿宋" w:hAnsi="仿宋" w:eastAsia="仿宋" w:cs="仿宋"/>
                <w:color w:val="000000" w:themeColor="text1"/>
                <w:kern w:val="2"/>
                <w:sz w:val="20"/>
                <w:szCs w:val="20"/>
                <w:lang w:val="en-US" w:eastAsia="zh-CN" w:bidi="ar-SA"/>
                <w14:textFill>
                  <w14:solidFill>
                    <w14:schemeClr w14:val="tx1"/>
                  </w14:solidFill>
                </w14:textFill>
              </w:rPr>
              <w:t>国家</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公共资源交易目录</w:t>
            </w:r>
            <w:r>
              <w:rPr>
                <w:rFonts w:hint="eastAsia" w:ascii="仿宋" w:hAnsi="仿宋" w:eastAsia="仿宋" w:cs="仿宋"/>
                <w:color w:val="000000" w:themeColor="text1"/>
                <w:kern w:val="2"/>
                <w:sz w:val="20"/>
                <w:szCs w:val="20"/>
                <w:lang w:val="en-US" w:eastAsia="zh-CN" w:bidi="ar-SA"/>
                <w14:textFill>
                  <w14:solidFill>
                    <w14:schemeClr w14:val="tx1"/>
                  </w14:solidFill>
                </w14:textFill>
              </w:rPr>
              <w:t>指引范围内</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的项目</w:t>
            </w:r>
            <w:r>
              <w:rPr>
                <w:rFonts w:hint="eastAsia" w:ascii="仿宋" w:hAnsi="仿宋" w:eastAsia="仿宋" w:cs="仿宋"/>
                <w:color w:val="000000" w:themeColor="text1"/>
                <w:kern w:val="2"/>
                <w:sz w:val="20"/>
                <w:szCs w:val="20"/>
                <w:lang w:val="en-US" w:eastAsia="zh-CN" w:bidi="ar-SA"/>
                <w14:textFill>
                  <w14:solidFill>
                    <w14:schemeClr w14:val="tx1"/>
                  </w14:solidFill>
                </w14:textFill>
              </w:rPr>
              <w:t>，</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未按照规定进入统一平台进行交易</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6</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zh-Han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采取抽签、摇号等方式进行资格审查或者限制投标人数量。</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7</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组织单个或者部分潜在投标人踏勘项目现场。</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8</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招标文件或者资格预审文件发布时限不符合规定。</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9</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评标委员会组建或者评标委员会专家专业不符合规定。</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eastAsiaTheme="minorEastAsia"/>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10</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接受法律法规或者招标文件规定应当拒收的投标文件。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对已发出的资格预审文件或者招标文件进行必要的澄清或者修改，澄清或者修改的内容可能影响资格预审申请文件或者投标文件编制</w:t>
            </w:r>
            <w:r>
              <w:rPr>
                <w:rFonts w:hint="eastAsia" w:ascii="仿宋" w:hAnsi="仿宋" w:eastAsia="仿宋" w:cs="仿宋"/>
                <w:color w:val="000000" w:themeColor="text1"/>
                <w:kern w:val="2"/>
                <w:sz w:val="20"/>
                <w:szCs w:val="20"/>
                <w:lang w:val="en-US" w:eastAsia="zh-CN" w:bidi="ar-SA"/>
                <w14:textFill>
                  <w14:solidFill>
                    <w14:schemeClr w14:val="tx1"/>
                  </w14:solidFill>
                </w14:textFill>
              </w:rPr>
              <w:t>，资格预审文件递交、投标文件递交截止时间不满足法定要求的。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未完整记录开标情况影响投诉调查处理或者案件查办。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3</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不按规定保存招标投标活动中形成的资料。</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4</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不按本办法规定及时申报或者更新信息。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val="0"/>
                <w:bCs w:val="0"/>
                <w:color w:val="000000" w:themeColor="text1"/>
                <w:vertAlign w:val="baseline"/>
                <w:lang w:eastAsia="zh-CN"/>
                <w14:textFill>
                  <w14:solidFill>
                    <w14:schemeClr w14:val="tx1"/>
                  </w14:solidFill>
                </w14:textFill>
              </w:rPr>
            </w:pPr>
            <w:r>
              <w:rPr>
                <w:rFonts w:hint="default"/>
                <w:b w:val="0"/>
                <w:bCs w:val="0"/>
                <w:color w:val="000000" w:themeColor="text1"/>
                <w:vertAlign w:val="baseline"/>
                <w14:textFill>
                  <w14:solidFill>
                    <w14:schemeClr w14:val="tx1"/>
                  </w14:solidFill>
                </w14:textFill>
              </w:rPr>
              <w:t>1</w:t>
            </w:r>
            <w:r>
              <w:rPr>
                <w:rFonts w:hint="eastAsia"/>
                <w:b w:val="0"/>
                <w:bCs w:val="0"/>
                <w:color w:val="000000" w:themeColor="text1"/>
                <w:vertAlign w:val="baseline"/>
                <w:lang w:val="en-US" w:eastAsia="zh-CN"/>
                <w14:textFill>
                  <w14:solidFill>
                    <w14:schemeClr w14:val="tx1"/>
                  </w14:solidFill>
                </w14:textFill>
              </w:rPr>
              <w:t>5</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其他依法应列为</w:t>
            </w:r>
            <w:r>
              <w:rPr>
                <w:rFonts w:hint="eastAsia" w:ascii="仿宋" w:hAnsi="仿宋" w:eastAsia="仿宋" w:cs="仿宋"/>
                <w:color w:val="000000" w:themeColor="text1"/>
                <w:kern w:val="2"/>
                <w:sz w:val="20"/>
                <w:szCs w:val="20"/>
                <w:lang w:val="en-US" w:eastAsia="zh-CN" w:bidi="ar-SA"/>
                <w14:textFill>
                  <w14:solidFill>
                    <w14:schemeClr w14:val="tx1"/>
                  </w14:solidFill>
                </w14:textFill>
              </w:rPr>
              <w:t>一般</w:t>
            </w:r>
            <w:r>
              <w:rPr>
                <w:rFonts w:hint="eastAsia" w:ascii="仿宋" w:hAnsi="仿宋" w:eastAsia="仿宋" w:cs="仿宋"/>
                <w:color w:val="000000" w:themeColor="text1"/>
                <w:kern w:val="2"/>
                <w:sz w:val="20"/>
                <w:szCs w:val="20"/>
                <w:lang w:val="en-US" w:eastAsia="en-US" w:bidi="ar-SA"/>
                <w14:textFill>
                  <w14:solidFill>
                    <w14:schemeClr w14:val="tx1"/>
                  </w14:solidFill>
                </w14:textFill>
              </w:rPr>
              <w:t>不良行为的。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未经</w:t>
            </w:r>
            <w:r>
              <w:rPr>
                <w:rFonts w:hint="eastAsia" w:ascii="仿宋" w:hAnsi="仿宋" w:eastAsia="仿宋" w:cs="仿宋"/>
                <w:color w:val="000000" w:themeColor="text1"/>
                <w:kern w:val="2"/>
                <w:sz w:val="20"/>
                <w:szCs w:val="20"/>
                <w:lang w:val="en-US" w:eastAsia="zh-CN" w:bidi="ar-SA"/>
                <w14:textFill>
                  <w14:solidFill>
                    <w14:schemeClr w14:val="tx1"/>
                  </w14:solidFill>
                </w14:textFill>
              </w:rPr>
              <w:t>项目发起方</w:t>
            </w:r>
            <w:r>
              <w:rPr>
                <w:rFonts w:hint="eastAsia" w:ascii="仿宋" w:hAnsi="仿宋" w:eastAsia="仿宋" w:cs="仿宋"/>
                <w:color w:val="000000" w:themeColor="text1"/>
                <w:kern w:val="2"/>
                <w:sz w:val="20"/>
                <w:szCs w:val="20"/>
                <w:lang w:val="en-US" w:eastAsia="en-US" w:bidi="ar-SA"/>
                <w14:textFill>
                  <w14:solidFill>
                    <w14:schemeClr w14:val="tx1"/>
                  </w14:solidFill>
                </w14:textFill>
              </w:rPr>
              <w:t>书面同意转让或者拆分招标代理业务。</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未集中编写资格审查标准、否决投标情形以及评标标准和方法。</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同一招标项目向潜在投标人或者投标人提供有差别项目信息。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设定的资格、技术、商务条件与招标项目的具体特点和实际需要不相适应或者与合同履行无关。</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依法必须进行招标的项目以特定行政区域或者特定行业的业绩、奖项作为加分条件或者中标条件。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限定或者指定特定的专利、商标、品牌、原产地或者供应商。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对潜在投标人或者投标人采取不同的资格审查或者评标标准。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存在超越许可范围承担代理业务</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w:t>
            </w:r>
            <w:r>
              <w:rPr>
                <w:rFonts w:hint="eastAsia" w:ascii="仿宋" w:hAnsi="仿宋" w:eastAsia="仿宋" w:cs="仿宋"/>
                <w:color w:val="000000" w:themeColor="text1"/>
                <w:kern w:val="2"/>
                <w:sz w:val="20"/>
                <w:szCs w:val="20"/>
                <w:lang w:val="en-US" w:eastAsia="zh-CN" w:bidi="ar-SA"/>
                <w14:textFill>
                  <w14:solidFill>
                    <w14:schemeClr w14:val="tx1"/>
                  </w14:solidFill>
                </w14:textFill>
              </w:rPr>
              <w:t>在违规</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收费现象</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以他人名义或者允许他人借自己名义从事招标代理业务。</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擅自中止或者终止招标。</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泄漏应当保密的与交易活动有关的情况和资料的行为</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拒收按法律法规或者招标文件规定应当接受的投标文件。</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对已接受的投标文件开标时不当众拆封、宣读。</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非法定事由更换依法确定的评标委员会（资格审查委员会）成员。</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16</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更换评标委员会的专家成员不从综合评标专家库内相关专业的专家中以随机抽取方式确定。</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17</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未向评标委员会提供评标所必需的信息。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18</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妨碍评标评审专家正常评审活动</w:t>
            </w:r>
            <w:r>
              <w:rPr>
                <w:rFonts w:hint="eastAsia" w:ascii="仿宋" w:hAnsi="仿宋" w:eastAsia="仿宋" w:cs="仿宋"/>
                <w:color w:val="000000" w:themeColor="text1"/>
                <w:kern w:val="2"/>
                <w:sz w:val="20"/>
                <w:szCs w:val="20"/>
                <w:lang w:val="en-US" w:eastAsia="en-U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19</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资格预审结束后，不按法律法规的规定及时向资格预审申请人发出资格预审结果通知书。</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评标结果公示期少于规定的时限。</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不按规定</w:t>
            </w:r>
            <w:r>
              <w:rPr>
                <w:rFonts w:hint="eastAsia" w:ascii="仿宋" w:hAnsi="仿宋" w:eastAsia="仿宋" w:cs="仿宋"/>
                <w:color w:val="000000" w:themeColor="text1"/>
                <w:kern w:val="2"/>
                <w:sz w:val="20"/>
                <w:szCs w:val="20"/>
                <w:lang w:val="en-US" w:eastAsia="zh-CN" w:bidi="ar-SA"/>
                <w14:textFill>
                  <w14:solidFill>
                    <w14:schemeClr w14:val="tx1"/>
                  </w14:solidFill>
                </w14:textFill>
              </w:rPr>
              <w:t>受理</w:t>
            </w:r>
            <w:r>
              <w:rPr>
                <w:rFonts w:hint="eastAsia" w:ascii="仿宋" w:hAnsi="仿宋" w:eastAsia="仿宋" w:cs="仿宋"/>
                <w:color w:val="000000" w:themeColor="text1"/>
                <w:kern w:val="2"/>
                <w:sz w:val="20"/>
                <w:szCs w:val="20"/>
                <w:lang w:val="en-US" w:eastAsia="en-US" w:bidi="ar-SA"/>
                <w14:textFill>
                  <w14:solidFill>
                    <w14:schemeClr w14:val="tx1"/>
                  </w14:solidFill>
                </w14:textFill>
              </w:rPr>
              <w:t>异议事项。</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不配合招标投标行政监督部门调查处理投诉或者案件查办。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23</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其他</w:t>
            </w:r>
            <w:r>
              <w:rPr>
                <w:rFonts w:hint="eastAsia" w:ascii="仿宋" w:hAnsi="仿宋" w:eastAsia="仿宋" w:cs="仿宋"/>
                <w:color w:val="000000" w:themeColor="text1"/>
                <w:kern w:val="2"/>
                <w:sz w:val="20"/>
                <w:szCs w:val="20"/>
                <w:lang w:val="en-US" w:eastAsia="zh-CN" w:bidi="ar-SA"/>
                <w14:textFill>
                  <w14:solidFill>
                    <w14:schemeClr w14:val="tx1"/>
                  </w14:solidFill>
                </w14:textFill>
              </w:rPr>
              <w:t>依法应列为</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较重不良行为</w:t>
            </w:r>
            <w:r>
              <w:rPr>
                <w:rFonts w:hint="eastAsia" w:ascii="仿宋" w:hAnsi="仿宋" w:eastAsia="仿宋" w:cs="仿宋"/>
                <w:color w:val="000000" w:themeColor="text1"/>
                <w:kern w:val="2"/>
                <w:sz w:val="20"/>
                <w:szCs w:val="20"/>
                <w:lang w:val="en-US" w:eastAsia="zh-CN" w:bidi="ar-SA"/>
                <w14:textFill>
                  <w14:solidFill>
                    <w14:schemeClr w14:val="tx1"/>
                  </w14:solidFill>
                </w14:textFill>
              </w:rPr>
              <w:t>的</w:t>
            </w:r>
            <w:r>
              <w:rPr>
                <w:rFonts w:hint="default" w:ascii="仿宋" w:hAnsi="仿宋" w:eastAsia="仿宋" w:cs="仿宋"/>
                <w:color w:val="000000" w:themeColor="text1"/>
                <w:kern w:val="2"/>
                <w:sz w:val="20"/>
                <w:szCs w:val="20"/>
                <w:lang w:val="en-US" w:eastAsia="en-U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公开发布的招标公告或者招标文件与经招标投标行政监督部门备案的招标公告或者招标文件不一致。</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widowControl w:val="0"/>
              <w:jc w:val="both"/>
              <w:rPr>
                <w:rFonts w:hint="default" w:ascii="仿宋" w:hAnsi="仿宋" w:eastAsia="仿宋" w:cs="仿宋"/>
                <w:color w:val="000000" w:themeColor="text1"/>
                <w:kern w:val="2"/>
                <w:sz w:val="20"/>
                <w:szCs w:val="20"/>
                <w:lang w:eastAsia="zh-Han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明知委托事项违法而进行代理</w:t>
            </w:r>
            <w:r>
              <w:rPr>
                <w:rFonts w:hint="default" w:ascii="仿宋" w:hAnsi="仿宋" w:eastAsia="仿宋" w:cs="仿宋"/>
                <w:color w:val="000000" w:themeColor="text1"/>
                <w:kern w:val="2"/>
                <w:sz w:val="20"/>
                <w:szCs w:val="20"/>
                <w:lang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存在从事同一项目的招标代理和投标咨询活动</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存在采取行贿</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提供回扣或者给予其他不正当利益等手段承接代理业务行为</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编制的交易文件存在违法违规条款</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授意或帮助投标人撤换、修改投标文件。</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在开标前开启投标文件并将有关信息泄露给其他投标人，或丢弃投标人投标文件。</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将投标人名单或者评标项目提前告知评标委员会成员。</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故意向评标委员会提供与公开发布不一致的招标文件。</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zh-Hans" w:bidi="ar-SA"/>
                <w14:textFill>
                  <w14:solidFill>
                    <w14:schemeClr w14:val="tx1"/>
                  </w14:solidFill>
                </w14:textFill>
              </w:rPr>
              <w:t>存在与项目单位或者竞争主体串通</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损害国家利益</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社会公共利益和他人合法权益的行为</w:t>
            </w:r>
            <w:r>
              <w:rPr>
                <w:rFonts w:hint="default" w:ascii="仿宋" w:hAnsi="仿宋" w:eastAsia="仿宋" w:cs="仿宋"/>
                <w:color w:val="000000" w:themeColor="text1"/>
                <w:kern w:val="2"/>
                <w:sz w:val="20"/>
                <w:szCs w:val="20"/>
                <w:lang w:val="en-US" w:eastAsia="zh-Hans" w:bidi="ar-SA"/>
                <w14:textFill>
                  <w14:solidFill>
                    <w14:schemeClr w14:val="tx1"/>
                  </w14:solidFill>
                </w14:textFill>
              </w:rPr>
              <w:t>。</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11</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zh-CN" w:bidi="ar-SA"/>
                <w14:textFill>
                  <w14:solidFill>
                    <w14:schemeClr w14:val="tx1"/>
                  </w14:solidFill>
                </w14:textFill>
              </w:rPr>
              <w:t>强制要求投标人、中标人交纳现金保证金。</w:t>
            </w:r>
          </w:p>
        </w:tc>
        <w:tc>
          <w:tcPr>
            <w:tcW w:w="1818" w:type="dxa"/>
            <w:vAlign w:val="bottom"/>
          </w:tcPr>
          <w:p>
            <w:pPr>
              <w:jc w:val="center"/>
              <w:rPr>
                <w:rFonts w:hint="default"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12</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在招标文件中（含电子文件）将标书的字号、字体、段落格式等作为审查条款</w:t>
            </w:r>
            <w:r>
              <w:rPr>
                <w:rFonts w:hint="eastAsia" w:ascii="仿宋" w:hAnsi="仿宋" w:eastAsia="仿宋" w:cs="仿宋"/>
                <w:color w:val="000000" w:themeColor="text1"/>
                <w:kern w:val="2"/>
                <w:sz w:val="20"/>
                <w:szCs w:val="20"/>
                <w:lang w:val="en-US" w:eastAsia="zh-CN" w:bidi="ar-SA"/>
                <w14:textFill>
                  <w14:solidFill>
                    <w14:schemeClr w14:val="tx1"/>
                  </w14:solidFill>
                </w14:textFill>
              </w:rPr>
              <w:t>。</w:t>
            </w:r>
          </w:p>
        </w:tc>
        <w:tc>
          <w:tcPr>
            <w:tcW w:w="1818"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13</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擅自修改评标报告、中标通知书等资料。</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14</w:t>
            </w:r>
          </w:p>
        </w:tc>
        <w:tc>
          <w:tcPr>
            <w:tcW w:w="10789" w:type="dxa"/>
            <w:vAlign w:val="center"/>
          </w:tcPr>
          <w:p>
            <w:pPr>
              <w:widowControl w:val="0"/>
              <w:jc w:val="both"/>
              <w:rPr>
                <w:rFonts w:hint="default"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故意销毁、隐匿所代理项目应当保存的招标投标资料。</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asciiTheme="minorHAnsi" w:hAnsiTheme="minorHAnsi" w:eastAsiaTheme="minorEastAsia" w:cstheme="minorBidi"/>
                <w:color w:val="000000" w:themeColor="text1"/>
                <w:kern w:val="2"/>
                <w:sz w:val="21"/>
                <w:szCs w:val="22"/>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15</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在有关部门处理投诉、查办案件调查有关情况时，提供虚假情况或者作伪证。</w:t>
            </w:r>
          </w:p>
        </w:tc>
        <w:tc>
          <w:tcPr>
            <w:tcW w:w="1818"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16</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拒不执行招标投标行政监督部门的处理决定。</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17</w:t>
            </w:r>
          </w:p>
        </w:tc>
        <w:tc>
          <w:tcPr>
            <w:tcW w:w="10789" w:type="dxa"/>
            <w:vAlign w:val="center"/>
          </w:tcPr>
          <w:p>
            <w:pPr>
              <w:widowControl w:val="0"/>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ascii="仿宋" w:hAnsi="仿宋" w:eastAsia="仿宋" w:cs="仿宋"/>
                <w:color w:val="000000" w:themeColor="text1"/>
                <w:kern w:val="2"/>
                <w:sz w:val="20"/>
                <w:szCs w:val="20"/>
                <w:lang w:val="en-US" w:eastAsia="en-US" w:bidi="ar-SA"/>
                <w14:textFill>
                  <w14:solidFill>
                    <w14:schemeClr w14:val="tx1"/>
                  </w14:solidFill>
                </w14:textFill>
              </w:rPr>
              <w:t>其他</w:t>
            </w:r>
            <w:r>
              <w:rPr>
                <w:rFonts w:hint="eastAsia" w:ascii="仿宋" w:hAnsi="仿宋" w:eastAsia="仿宋" w:cs="仿宋"/>
                <w:color w:val="000000" w:themeColor="text1"/>
                <w:kern w:val="2"/>
                <w:sz w:val="20"/>
                <w:szCs w:val="20"/>
                <w:lang w:val="en-US" w:eastAsia="zh-CN" w:bidi="ar-SA"/>
                <w14:textFill>
                  <w14:solidFill>
                    <w14:schemeClr w14:val="tx1"/>
                  </w14:solidFill>
                </w14:textFill>
              </w:rPr>
              <w:t>依法应列为</w:t>
            </w:r>
            <w:r>
              <w:rPr>
                <w:rFonts w:hint="eastAsia" w:ascii="仿宋" w:hAnsi="仿宋" w:eastAsia="仿宋" w:cs="仿宋"/>
                <w:color w:val="000000" w:themeColor="text1"/>
                <w:kern w:val="2"/>
                <w:sz w:val="20"/>
                <w:szCs w:val="20"/>
                <w:lang w:val="en-US" w:eastAsia="zh-Hans" w:bidi="ar-SA"/>
                <w14:textFill>
                  <w14:solidFill>
                    <w14:schemeClr w14:val="tx1"/>
                  </w14:solidFill>
                </w14:textFill>
              </w:rPr>
              <w:t>严重不良行为</w:t>
            </w:r>
            <w:r>
              <w:rPr>
                <w:rFonts w:hint="eastAsia" w:ascii="仿宋" w:hAnsi="仿宋" w:eastAsia="仿宋" w:cs="仿宋"/>
                <w:color w:val="000000" w:themeColor="text1"/>
                <w:kern w:val="2"/>
                <w:sz w:val="20"/>
                <w:szCs w:val="20"/>
                <w:lang w:val="en-US" w:eastAsia="zh-CN" w:bidi="ar-SA"/>
                <w14:textFill>
                  <w14:solidFill>
                    <w14:schemeClr w14:val="tx1"/>
                  </w14:solidFill>
                </w14:textFill>
              </w:rPr>
              <w:t>的</w:t>
            </w:r>
            <w:r>
              <w:rPr>
                <w:rFonts w:hint="default" w:ascii="仿宋" w:hAnsi="仿宋" w:eastAsia="仿宋" w:cs="仿宋"/>
                <w:color w:val="000000" w:themeColor="text1"/>
                <w:kern w:val="2"/>
                <w:sz w:val="20"/>
                <w:szCs w:val="20"/>
                <w:lang w:val="en-US" w:eastAsia="en-US" w:bidi="ar-SA"/>
                <w14:textFill>
                  <w14:solidFill>
                    <w14:schemeClr w14:val="tx1"/>
                  </w14:solidFill>
                </w14:textFill>
              </w:rPr>
              <w:t>。</w:t>
            </w:r>
          </w:p>
        </w:tc>
        <w:tc>
          <w:tcPr>
            <w:tcW w:w="1818" w:type="dxa"/>
            <w:vAlign w:val="bottom"/>
          </w:tcPr>
          <w:p>
            <w:pPr>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pStyle w:val="5"/>
        <w:rPr>
          <w:rFonts w:hint="default"/>
          <w:color w:val="000000" w:themeColor="text1"/>
          <w:lang w:eastAsia="zh-Hans"/>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jc w:val="center"/>
        <w:rPr>
          <w:rFonts w:hint="eastAsia" w:eastAsiaTheme="minorEastAsia"/>
          <w:b/>
          <w:bCs/>
          <w:color w:val="000000" w:themeColor="text1"/>
          <w:sz w:val="28"/>
          <w:szCs w:val="28"/>
          <w:lang w:val="en-US" w:eastAsia="zh-Hans"/>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6.评标评审专家</w:t>
      </w:r>
      <w:r>
        <w:rPr>
          <w:rFonts w:hint="eastAsia"/>
          <w:b/>
          <w:bCs/>
          <w:color w:val="000000" w:themeColor="text1"/>
          <w:sz w:val="28"/>
          <w:szCs w:val="28"/>
          <w:lang w:val="en-US" w:eastAsia="zh-Hans"/>
          <w14:textFill>
            <w14:solidFill>
              <w14:schemeClr w14:val="tx1"/>
            </w14:solidFill>
          </w14:textFill>
        </w:rPr>
        <w:t>信用信息记录量化记分标准</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78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78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181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44" w:line="227" w:lineRule="auto"/>
              <w:jc w:val="left"/>
              <w:rPr>
                <w:rFonts w:hint="eastAsia" w:ascii="仿宋" w:hAnsi="仿宋" w:eastAsia="仿宋" w:cs="仿宋"/>
                <w:color w:val="000000" w:themeColor="text1"/>
                <w:kern w:val="2"/>
                <w:sz w:val="20"/>
                <w:szCs w:val="20"/>
                <w:lang w:val="en-US" w:eastAsia="zh-Hans" w:bidi="ar-SA"/>
                <w14:textFill>
                  <w14:solidFill>
                    <w14:schemeClr w14:val="tx1"/>
                  </w14:solidFill>
                </w14:textFill>
              </w:rPr>
            </w:pPr>
            <w:r>
              <w:rPr>
                <w:color w:val="000000" w:themeColor="text1"/>
                <w:spacing w:val="7"/>
                <w14:textFill>
                  <w14:solidFill>
                    <w14:schemeClr w14:val="tx1"/>
                  </w14:solidFill>
                </w14:textFill>
              </w:rPr>
              <w:t>应当回避而不回避。</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45" w:line="223"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7"/>
                <w14:textFill>
                  <w14:solidFill>
                    <w14:schemeClr w14:val="tx1"/>
                  </w14:solidFill>
                </w14:textFill>
              </w:rPr>
              <w:t>在</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标（评审）过程中擅离职守，</w:t>
            </w:r>
            <w:r>
              <w:rPr>
                <w:color w:val="000000" w:themeColor="text1"/>
                <w:spacing w:val="-56"/>
                <w14:textFill>
                  <w14:solidFill>
                    <w14:schemeClr w14:val="tx1"/>
                  </w14:solidFill>
                </w14:textFill>
              </w:rPr>
              <w:t xml:space="preserve"> </w:t>
            </w:r>
            <w:r>
              <w:rPr>
                <w:color w:val="000000" w:themeColor="text1"/>
                <w:spacing w:val="7"/>
                <w14:textFill>
                  <w14:solidFill>
                    <w14:schemeClr w14:val="tx1"/>
                  </w14:solidFill>
                </w14:textFill>
              </w:rPr>
              <w:t>尚未影响</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标（评审）程序正</w:t>
            </w:r>
            <w:r>
              <w:rPr>
                <w:color w:val="000000" w:themeColor="text1"/>
                <w:spacing w:val="6"/>
                <w14:textFill>
                  <w14:solidFill>
                    <w14:schemeClr w14:val="tx1"/>
                  </w14:solidFill>
                </w14:textFill>
              </w:rPr>
              <w:t>常进行。</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45" w:line="226"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不接受、不服从</w:t>
            </w:r>
            <w:r>
              <w:rPr>
                <w:rFonts w:hint="eastAsia"/>
                <w:color w:val="000000" w:themeColor="text1"/>
                <w:spacing w:val="8"/>
                <w:lang w:eastAsia="zh-CN"/>
                <w14:textFill>
                  <w14:solidFill>
                    <w14:schemeClr w14:val="tx1"/>
                  </w14:solidFill>
                </w14:textFill>
              </w:rPr>
              <w:t>工作</w:t>
            </w:r>
            <w:r>
              <w:rPr>
                <w:color w:val="000000" w:themeColor="text1"/>
                <w:spacing w:val="8"/>
                <w14:textFill>
                  <w14:solidFill>
                    <w14:schemeClr w14:val="tx1"/>
                  </w14:solidFill>
                </w14:textFill>
              </w:rPr>
              <w:t>人员正常的安排管理，</w:t>
            </w:r>
            <w:r>
              <w:rPr>
                <w:color w:val="000000" w:themeColor="text1"/>
                <w:spacing w:val="-57"/>
                <w14:textFill>
                  <w14:solidFill>
                    <w14:schemeClr w14:val="tx1"/>
                  </w14:solidFill>
                </w14:textFill>
              </w:rPr>
              <w:t xml:space="preserve"> </w:t>
            </w:r>
            <w:r>
              <w:rPr>
                <w:color w:val="000000" w:themeColor="text1"/>
                <w:spacing w:val="8"/>
                <w14:textFill>
                  <w14:solidFill>
                    <w14:schemeClr w14:val="tx1"/>
                  </w14:solidFill>
                </w14:textFill>
              </w:rPr>
              <w:t>尚未影响评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程序正常</w:t>
            </w:r>
            <w:r>
              <w:rPr>
                <w:color w:val="000000" w:themeColor="text1"/>
                <w:spacing w:val="7"/>
                <w14:textFill>
                  <w14:solidFill>
                    <w14:schemeClr w14:val="tx1"/>
                  </w14:solidFill>
                </w14:textFill>
              </w:rPr>
              <w:t>进行。</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0" w:line="225"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不能严格遵守保密纪律，泄露评标有关信息。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789" w:type="dxa"/>
            <w:vAlign w:val="center"/>
          </w:tcPr>
          <w:p>
            <w:pPr>
              <w:pStyle w:val="12"/>
              <w:spacing w:before="61" w:line="223" w:lineRule="auto"/>
              <w:jc w:val="left"/>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lang w:eastAsia="zh-CN"/>
                <w14:textFill>
                  <w14:solidFill>
                    <w14:schemeClr w14:val="tx1"/>
                  </w14:solidFill>
                </w14:textFill>
              </w:rPr>
              <w:t>因自身</w:t>
            </w:r>
            <w:r>
              <w:rPr>
                <w:color w:val="000000" w:themeColor="text1"/>
                <w:spacing w:val="8"/>
                <w14:textFill>
                  <w14:solidFill>
                    <w14:schemeClr w14:val="tx1"/>
                  </w14:solidFill>
                </w14:textFill>
              </w:rPr>
              <w:t>原因迟到半小时以上。</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789" w:type="dxa"/>
            <w:vAlign w:val="center"/>
          </w:tcPr>
          <w:p>
            <w:pPr>
              <w:pStyle w:val="12"/>
              <w:spacing w:before="58" w:line="225" w:lineRule="auto"/>
              <w:jc w:val="left"/>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无正当理由拒不参加</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rFonts w:hint="eastAsia" w:cs="仿宋"/>
                <w:color w:val="000000" w:themeColor="text1"/>
                <w:kern w:val="2"/>
                <w:sz w:val="20"/>
                <w:szCs w:val="20"/>
                <w:lang w:val="en-US" w:eastAsia="zh-Hans" w:bidi="ar-SA"/>
                <w14:textFill>
                  <w14:solidFill>
                    <w14:schemeClr w14:val="tx1"/>
                  </w14:solidFill>
                </w14:textFill>
              </w:rPr>
              <w:t>活动</w:t>
            </w:r>
            <w:r>
              <w:rPr>
                <w:rFonts w:hint="default" w:cs="仿宋"/>
                <w:color w:val="000000" w:themeColor="text1"/>
                <w:kern w:val="2"/>
                <w:sz w:val="20"/>
                <w:szCs w:val="20"/>
                <w:lang w:eastAsia="zh-Hans" w:bidi="ar-SA"/>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w:t>
            </w:r>
          </w:p>
        </w:tc>
        <w:tc>
          <w:tcPr>
            <w:tcW w:w="10789" w:type="dxa"/>
            <w:vAlign w:val="center"/>
          </w:tcPr>
          <w:p>
            <w:pPr>
              <w:pStyle w:val="12"/>
              <w:spacing w:before="59" w:line="223" w:lineRule="auto"/>
              <w:jc w:val="left"/>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w:t>
            </w:r>
            <w:r>
              <w:rPr>
                <w:rFonts w:hint="eastAsia"/>
                <w:color w:val="000000" w:themeColor="text1"/>
                <w:spacing w:val="8"/>
                <w:lang w:val="en-US" w:eastAsia="zh-Hans"/>
                <w14:textFill>
                  <w14:solidFill>
                    <w14:schemeClr w14:val="tx1"/>
                  </w14:solidFill>
                </w14:textFill>
              </w:rPr>
              <w:t>依法</w:t>
            </w:r>
            <w:r>
              <w:rPr>
                <w:rFonts w:hint="eastAsia"/>
                <w:color w:val="000000" w:themeColor="text1"/>
                <w:spacing w:val="8"/>
                <w14:textFill>
                  <w14:solidFill>
                    <w14:schemeClr w14:val="tx1"/>
                  </w14:solidFill>
                </w14:textFill>
              </w:rPr>
              <w:t>应列为评标专家</w:t>
            </w:r>
            <w:r>
              <w:rPr>
                <w:color w:val="000000" w:themeColor="text1"/>
                <w:spacing w:val="8"/>
                <w14:textFill>
                  <w14:solidFill>
                    <w14:schemeClr w14:val="tx1"/>
                  </w14:solidFill>
                </w14:textFill>
              </w:rPr>
              <w:t>一般不良行为。</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61"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lang w:eastAsia="zh-CN"/>
                <w14:textFill>
                  <w14:solidFill>
                    <w14:schemeClr w14:val="tx1"/>
                  </w14:solidFill>
                </w14:textFill>
              </w:rPr>
              <w:t>因自身</w:t>
            </w:r>
            <w:r>
              <w:rPr>
                <w:color w:val="000000" w:themeColor="text1"/>
                <w:spacing w:val="8"/>
                <w14:textFill>
                  <w14:solidFill>
                    <w14:schemeClr w14:val="tx1"/>
                  </w14:solidFill>
                </w14:textFill>
              </w:rPr>
              <w:t>原因迟到</w:t>
            </w:r>
            <w:r>
              <w:rPr>
                <w:rFonts w:hint="eastAsia"/>
                <w:color w:val="000000" w:themeColor="text1"/>
                <w:spacing w:val="8"/>
                <w:lang w:eastAsia="zh-CN"/>
                <w14:textFill>
                  <w14:solidFill>
                    <w14:schemeClr w14:val="tx1"/>
                  </w14:solidFill>
                </w14:textFill>
              </w:rPr>
              <w:t>一</w:t>
            </w:r>
            <w:r>
              <w:rPr>
                <w:color w:val="000000" w:themeColor="text1"/>
                <w:spacing w:val="8"/>
                <w14:textFill>
                  <w14:solidFill>
                    <w14:schemeClr w14:val="tx1"/>
                  </w14:solidFill>
                </w14:textFill>
              </w:rPr>
              <w:t>小时以上且未</w:t>
            </w:r>
            <w:r>
              <w:rPr>
                <w:rFonts w:hint="eastAsia"/>
                <w:color w:val="000000" w:themeColor="text1"/>
                <w:spacing w:val="8"/>
                <w:lang w:eastAsia="zh-CN"/>
                <w14:textFill>
                  <w14:solidFill>
                    <w14:schemeClr w14:val="tx1"/>
                  </w14:solidFill>
                </w14:textFill>
              </w:rPr>
              <w:t>提前</w:t>
            </w:r>
            <w:r>
              <w:rPr>
                <w:color w:val="000000" w:themeColor="text1"/>
                <w:spacing w:val="8"/>
                <w14:textFill>
                  <w14:solidFill>
                    <w14:schemeClr w14:val="tx1"/>
                  </w14:solidFill>
                </w14:textFill>
              </w:rPr>
              <w:t>告知评标现场管理人员。</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pStyle w:val="12"/>
              <w:spacing w:before="47" w:line="223" w:lineRule="auto"/>
              <w:jc w:val="both"/>
              <w:rPr>
                <w:color w:val="000000" w:themeColor="text1"/>
                <w:spacing w:val="9"/>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同意参加评标后</w:t>
            </w:r>
            <w:r>
              <w:rPr>
                <w:rFonts w:hint="default" w:cs="仿宋"/>
                <w:color w:val="000000" w:themeColor="text1"/>
                <w:kern w:val="2"/>
                <w:sz w:val="20"/>
                <w:szCs w:val="20"/>
                <w:lang w:eastAsia="zh-Hans" w:bidi="ar-SA"/>
                <w14:textFill>
                  <w14:solidFill>
                    <w14:schemeClr w14:val="tx1"/>
                  </w14:solidFill>
                </w14:textFill>
              </w:rPr>
              <w:t>，</w:t>
            </w:r>
            <w:r>
              <w:rPr>
                <w:rFonts w:hint="eastAsia" w:cs="仿宋"/>
                <w:color w:val="000000" w:themeColor="text1"/>
                <w:kern w:val="2"/>
                <w:sz w:val="20"/>
                <w:szCs w:val="20"/>
                <w:lang w:val="en-US" w:eastAsia="zh-Hans" w:bidi="ar-SA"/>
                <w14:textFill>
                  <w14:solidFill>
                    <w14:schemeClr w14:val="tx1"/>
                  </w14:solidFill>
                </w14:textFill>
              </w:rPr>
              <w:t>未到场评标</w:t>
            </w:r>
            <w:r>
              <w:rPr>
                <w:rFonts w:hint="default" w:cs="仿宋"/>
                <w:color w:val="000000" w:themeColor="text1"/>
                <w:kern w:val="2"/>
                <w:sz w:val="20"/>
                <w:szCs w:val="20"/>
                <w:lang w:eastAsia="zh-Hans" w:bidi="ar-SA"/>
                <w14:textFill>
                  <w14:solidFill>
                    <w14:schemeClr w14:val="tx1"/>
                  </w14:solidFill>
                </w14:textFill>
              </w:rPr>
              <w:t>。</w:t>
            </w:r>
          </w:p>
        </w:tc>
        <w:tc>
          <w:tcPr>
            <w:tcW w:w="1818" w:type="dxa"/>
            <w:vAlign w:val="bottom"/>
          </w:tcPr>
          <w:p>
            <w:pPr>
              <w:pStyle w:val="5"/>
              <w:jc w:val="cente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47"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不接受、不服从</w:t>
            </w:r>
            <w:r>
              <w:rPr>
                <w:rFonts w:hint="eastAsia"/>
                <w:color w:val="000000" w:themeColor="text1"/>
                <w:spacing w:val="9"/>
                <w:lang w:eastAsia="zh-CN"/>
                <w14:textFill>
                  <w14:solidFill>
                    <w14:schemeClr w14:val="tx1"/>
                  </w14:solidFill>
                </w14:textFill>
              </w:rPr>
              <w:t>工作人员</w:t>
            </w:r>
            <w:r>
              <w:rPr>
                <w:color w:val="000000" w:themeColor="text1"/>
                <w:spacing w:val="9"/>
                <w14:textFill>
                  <w14:solidFill>
                    <w14:schemeClr w14:val="tx1"/>
                  </w14:solidFill>
                </w14:textFill>
              </w:rPr>
              <w:t>正常的安排管理或在</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过程中擅离职守，影响</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程序正常进行。</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pStyle w:val="12"/>
              <w:spacing w:before="48"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向</w:t>
            </w:r>
            <w:r>
              <w:rPr>
                <w:rFonts w:hint="eastAsia"/>
                <w:color w:val="000000" w:themeColor="text1"/>
                <w:spacing w:val="8"/>
                <w:lang w:eastAsia="zh-CN"/>
                <w14:textFill>
                  <w14:solidFill>
                    <w14:schemeClr w14:val="tx1"/>
                  </w14:solidFill>
                </w14:textFill>
              </w:rPr>
              <w:t>项目发起方（采购人）、</w:t>
            </w:r>
            <w:r>
              <w:rPr>
                <w:color w:val="000000" w:themeColor="text1"/>
                <w:spacing w:val="8"/>
                <w14:textFill>
                  <w14:solidFill>
                    <w14:schemeClr w14:val="tx1"/>
                  </w14:solidFill>
                </w14:textFill>
              </w:rPr>
              <w:t>代理机构提出不合理要求、超标准索要评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劳务费。</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49"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在评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过程中擅自与</w:t>
            </w:r>
            <w:r>
              <w:rPr>
                <w:rFonts w:hint="eastAsia"/>
                <w:color w:val="000000" w:themeColor="text1"/>
                <w:spacing w:val="8"/>
                <w:lang w:eastAsia="zh-CN"/>
                <w14:textFill>
                  <w14:solidFill>
                    <w14:schemeClr w14:val="tx1"/>
                  </w14:solidFill>
                </w14:textFill>
              </w:rPr>
              <w:t>无关人员</w:t>
            </w:r>
            <w:r>
              <w:rPr>
                <w:color w:val="000000" w:themeColor="text1"/>
                <w:spacing w:val="8"/>
                <w14:textFill>
                  <w14:solidFill>
                    <w14:schemeClr w14:val="tx1"/>
                  </w14:solidFill>
                </w14:textFill>
              </w:rPr>
              <w:t>沟通或接触。</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w:t>
            </w:r>
          </w:p>
        </w:tc>
        <w:tc>
          <w:tcPr>
            <w:tcW w:w="10789" w:type="dxa"/>
            <w:vAlign w:val="center"/>
          </w:tcPr>
          <w:p>
            <w:pPr>
              <w:pStyle w:val="12"/>
              <w:spacing w:before="50"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在确定参与评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至评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结束前私自与</w:t>
            </w:r>
            <w:r>
              <w:rPr>
                <w:rFonts w:hint="eastAsia"/>
                <w:color w:val="000000" w:themeColor="text1"/>
                <w:spacing w:val="8"/>
                <w:lang w:eastAsia="zh-CN"/>
                <w14:textFill>
                  <w14:solidFill>
                    <w14:schemeClr w14:val="tx1"/>
                  </w14:solidFill>
                </w14:textFill>
              </w:rPr>
              <w:t>投标人（</w:t>
            </w:r>
            <w:r>
              <w:rPr>
                <w:color w:val="000000" w:themeColor="text1"/>
                <w:spacing w:val="8"/>
                <w14:textFill>
                  <w14:solidFill>
                    <w14:schemeClr w14:val="tx1"/>
                  </w14:solidFill>
                </w14:textFill>
              </w:rPr>
              <w:t>供应商</w:t>
            </w:r>
            <w:r>
              <w:rPr>
                <w:rFonts w:hint="eastAsia"/>
                <w:color w:val="000000" w:themeColor="text1"/>
                <w:spacing w:val="8"/>
                <w:lang w:eastAsia="zh-CN"/>
                <w14:textFill>
                  <w14:solidFill>
                    <w14:schemeClr w14:val="tx1"/>
                  </w14:solidFill>
                </w14:textFill>
              </w:rPr>
              <w:t>）</w:t>
            </w:r>
            <w:r>
              <w:rPr>
                <w:color w:val="000000" w:themeColor="text1"/>
                <w:spacing w:val="8"/>
                <w14:textFill>
                  <w14:solidFill>
                    <w14:schemeClr w14:val="tx1"/>
                  </w14:solidFill>
                </w14:textFill>
              </w:rPr>
              <w:t>沟通或接触。</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w:t>
            </w:r>
          </w:p>
        </w:tc>
        <w:tc>
          <w:tcPr>
            <w:tcW w:w="10789" w:type="dxa"/>
            <w:vAlign w:val="center"/>
          </w:tcPr>
          <w:p>
            <w:pPr>
              <w:pStyle w:val="12"/>
              <w:spacing w:before="51"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进入评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区域未按要求存放随身携带的全部通讯工具。</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8</w:t>
            </w:r>
          </w:p>
        </w:tc>
        <w:tc>
          <w:tcPr>
            <w:tcW w:w="10789" w:type="dxa"/>
            <w:vAlign w:val="center"/>
          </w:tcPr>
          <w:p>
            <w:pPr>
              <w:pStyle w:val="12"/>
              <w:spacing w:before="51"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记录、复制或者带走评审资料。</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9</w:t>
            </w:r>
          </w:p>
        </w:tc>
        <w:tc>
          <w:tcPr>
            <w:tcW w:w="10789" w:type="dxa"/>
            <w:vAlign w:val="center"/>
          </w:tcPr>
          <w:p>
            <w:pPr>
              <w:pStyle w:val="12"/>
              <w:spacing w:before="51"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泄露</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文件、</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情况以及</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过程中获悉的国家秘</w:t>
            </w:r>
            <w:r>
              <w:rPr>
                <w:color w:val="000000" w:themeColor="text1"/>
                <w:spacing w:val="8"/>
                <w14:textFill>
                  <w14:solidFill>
                    <w14:schemeClr w14:val="tx1"/>
                  </w14:solidFill>
                </w14:textFill>
              </w:rPr>
              <w:t>密、商业秘密。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w:t>
            </w:r>
          </w:p>
        </w:tc>
        <w:tc>
          <w:tcPr>
            <w:tcW w:w="10789" w:type="dxa"/>
            <w:vAlign w:val="center"/>
          </w:tcPr>
          <w:p>
            <w:pPr>
              <w:pStyle w:val="12"/>
              <w:spacing w:before="52"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违反</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纪律发表倾向性意见，或者征询</w:t>
            </w:r>
            <w:r>
              <w:rPr>
                <w:rFonts w:hint="eastAsia"/>
                <w:color w:val="000000" w:themeColor="text1"/>
                <w:spacing w:val="9"/>
                <w:lang w:val="en-US" w:eastAsia="zh-CN"/>
                <w14:textFill>
                  <w14:solidFill>
                    <w14:schemeClr w14:val="tx1"/>
                  </w14:solidFill>
                </w14:textFill>
              </w:rPr>
              <w:t>项目发起方</w:t>
            </w:r>
            <w:r>
              <w:rPr>
                <w:rFonts w:hint="eastAsia"/>
                <w:color w:val="000000" w:themeColor="text1"/>
                <w:spacing w:val="9"/>
                <w:lang w:val="en-US" w:eastAsia="zh-Hans"/>
                <w14:textFill>
                  <w14:solidFill>
                    <w14:schemeClr w14:val="tx1"/>
                  </w14:solidFill>
                </w14:textFill>
              </w:rPr>
              <w:t>或</w:t>
            </w:r>
            <w:r>
              <w:rPr>
                <w:color w:val="000000" w:themeColor="text1"/>
                <w:spacing w:val="9"/>
                <w14:textFill>
                  <w14:solidFill>
                    <w14:schemeClr w14:val="tx1"/>
                  </w14:solidFill>
                </w14:textFill>
              </w:rPr>
              <w:t>采购人的倾</w:t>
            </w:r>
            <w:r>
              <w:rPr>
                <w:color w:val="000000" w:themeColor="text1"/>
                <w:spacing w:val="8"/>
                <w14:textFill>
                  <w14:solidFill>
                    <w14:schemeClr w14:val="tx1"/>
                  </w14:solidFill>
                </w14:textFill>
              </w:rPr>
              <w:t>向性意见。</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1</w:t>
            </w:r>
          </w:p>
        </w:tc>
        <w:tc>
          <w:tcPr>
            <w:tcW w:w="10789" w:type="dxa"/>
            <w:vAlign w:val="center"/>
          </w:tcPr>
          <w:p>
            <w:pPr>
              <w:pStyle w:val="12"/>
              <w:spacing w:before="52"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9"/>
                <w:lang w:eastAsia="zh-CN"/>
                <w14:textFill>
                  <w14:solidFill>
                    <w14:schemeClr w14:val="tx1"/>
                  </w14:solidFill>
                </w14:textFill>
              </w:rPr>
              <w:t>采信投标人</w:t>
            </w:r>
            <w:r>
              <w:rPr>
                <w:color w:val="000000" w:themeColor="text1"/>
                <w:spacing w:val="9"/>
                <w14:textFill>
                  <w14:solidFill>
                    <w14:schemeClr w14:val="tx1"/>
                  </w14:solidFill>
                </w14:textFill>
              </w:rPr>
              <w:t>提出的与投标文件不一致的澄清或者说明。</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pStyle w:val="12"/>
              <w:spacing w:before="51"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对需要专业判断的主观评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因素协商评分。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67"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擅自操作其他</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专家的电脑等打分设备，或代</w:t>
            </w:r>
            <w:r>
              <w:rPr>
                <w:color w:val="000000" w:themeColor="text1"/>
                <w:spacing w:val="8"/>
                <w14:textFill>
                  <w14:solidFill>
                    <w14:schemeClr w14:val="tx1"/>
                  </w14:solidFill>
                </w14:textFill>
              </w:rPr>
              <w:t>替他人打分。</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pStyle w:val="12"/>
              <w:spacing w:before="68"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不认真、不仔细，造成评审错误。</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63"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暗示或者诱导投标人作出澄清、说明的。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6</w:t>
            </w:r>
          </w:p>
        </w:tc>
        <w:tc>
          <w:tcPr>
            <w:tcW w:w="10789" w:type="dxa"/>
            <w:vAlign w:val="center"/>
          </w:tcPr>
          <w:p>
            <w:pPr>
              <w:pStyle w:val="12"/>
              <w:spacing w:before="63"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不按照招标文件（资格预审文件）规定的标准和方法进行评</w:t>
            </w:r>
            <w:r>
              <w:rPr>
                <w:color w:val="000000" w:themeColor="text1"/>
                <w:spacing w:val="7"/>
                <w14:textFill>
                  <w14:solidFill>
                    <w14:schemeClr w14:val="tx1"/>
                  </w14:solidFill>
                </w14:textFill>
              </w:rPr>
              <w:t>标（评审）</w:t>
            </w:r>
            <w:r>
              <w:rPr>
                <w:color w:val="000000" w:themeColor="text1"/>
                <w:spacing w:val="-58"/>
                <w14:textFill>
                  <w14:solidFill>
                    <w14:schemeClr w14:val="tx1"/>
                  </w14:solidFill>
                </w14:textFill>
              </w:rPr>
              <w:t xml:space="preserve"> </w:t>
            </w:r>
            <w:r>
              <w:rPr>
                <w:color w:val="000000" w:themeColor="text1"/>
                <w:spacing w:val="7"/>
                <w14:textFill>
                  <w14:solidFill>
                    <w14:schemeClr w14:val="tx1"/>
                  </w14:solidFill>
                </w14:textFill>
              </w:rPr>
              <w:t>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7</w:t>
            </w:r>
          </w:p>
        </w:tc>
        <w:tc>
          <w:tcPr>
            <w:tcW w:w="10789" w:type="dxa"/>
            <w:vAlign w:val="center"/>
          </w:tcPr>
          <w:p>
            <w:pPr>
              <w:pStyle w:val="12"/>
              <w:spacing w:before="63" w:line="223"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拒绝在</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委员会的</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结论上签字，且不以书面形式说明不同意见和理由的。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8</w:t>
            </w:r>
          </w:p>
        </w:tc>
        <w:tc>
          <w:tcPr>
            <w:tcW w:w="10789" w:type="dxa"/>
            <w:vAlign w:val="center"/>
          </w:tcPr>
          <w:p>
            <w:pPr>
              <w:pStyle w:val="12"/>
              <w:spacing w:before="46" w:line="224" w:lineRule="auto"/>
              <w:jc w:val="both"/>
              <w:rPr>
                <w:color w:val="000000" w:themeColor="text1"/>
                <w:spacing w:val="9"/>
                <w14:textFill>
                  <w14:solidFill>
                    <w14:schemeClr w14:val="tx1"/>
                  </w14:solidFill>
                </w14:textFill>
              </w:rPr>
            </w:pPr>
            <w:r>
              <w:rPr>
                <w:color w:val="000000" w:themeColor="text1"/>
                <w:spacing w:val="7"/>
                <w14:textFill>
                  <w14:solidFill>
                    <w14:schemeClr w14:val="tx1"/>
                  </w14:solidFill>
                </w14:textFill>
              </w:rPr>
              <w:t>不配合投诉调查处理或者案件查办。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1</w:t>
            </w:r>
            <w:r>
              <w:rPr>
                <w:rFonts w:hint="eastAsia"/>
                <w:color w:val="000000" w:themeColor="text1"/>
                <w:vertAlign w:val="baseline"/>
                <w:lang w:val="en-US" w:eastAsia="zh-CN"/>
                <w14:textFill>
                  <w14:solidFill>
                    <w14:schemeClr w14:val="tx1"/>
                  </w14:solidFill>
                </w14:textFill>
              </w:rPr>
              <w:t>9</w:t>
            </w:r>
          </w:p>
        </w:tc>
        <w:tc>
          <w:tcPr>
            <w:tcW w:w="10789" w:type="dxa"/>
            <w:vAlign w:val="center"/>
          </w:tcPr>
          <w:p>
            <w:pPr>
              <w:pStyle w:val="12"/>
              <w:spacing w:before="46" w:line="224" w:lineRule="auto"/>
              <w:jc w:val="both"/>
              <w:rPr>
                <w:color w:val="000000" w:themeColor="text1"/>
                <w:spacing w:val="9"/>
                <w14:textFill>
                  <w14:solidFill>
                    <w14:schemeClr w14:val="tx1"/>
                  </w14:solidFill>
                </w14:textFill>
              </w:rPr>
            </w:pPr>
            <w:r>
              <w:rPr>
                <w:color w:val="000000" w:themeColor="text1"/>
                <w:spacing w:val="9"/>
                <w14:textFill>
                  <w14:solidFill>
                    <w14:schemeClr w14:val="tx1"/>
                  </w14:solidFill>
                </w14:textFill>
              </w:rPr>
              <w:t>与投标人存在利害关系应当回避而不回避，并造成评标（评审）结果无效的。</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w:t>
            </w:r>
          </w:p>
        </w:tc>
        <w:tc>
          <w:tcPr>
            <w:tcW w:w="10789" w:type="dxa"/>
            <w:vAlign w:val="center"/>
          </w:tcPr>
          <w:p>
            <w:pPr>
              <w:pStyle w:val="12"/>
              <w:spacing w:before="46" w:line="224"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未按照规定的</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要求和标准进行</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结束后的复核过程中仍未纠正或不出具明确复核意见。</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1</w:t>
            </w:r>
          </w:p>
        </w:tc>
        <w:tc>
          <w:tcPr>
            <w:tcW w:w="10789" w:type="dxa"/>
            <w:vAlign w:val="center"/>
          </w:tcPr>
          <w:p>
            <w:pPr>
              <w:pStyle w:val="12"/>
              <w:spacing w:before="61"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不按规定签署评审报告又不书面说明理由。</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2</w:t>
            </w:r>
          </w:p>
        </w:tc>
        <w:tc>
          <w:tcPr>
            <w:tcW w:w="10789" w:type="dxa"/>
            <w:vAlign w:val="center"/>
          </w:tcPr>
          <w:p>
            <w:pPr>
              <w:pStyle w:val="12"/>
              <w:spacing w:before="16" w:line="232" w:lineRule="auto"/>
              <w:ind w:right="140" w:rightChars="0"/>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委员会发现采购文件存在歧义、重大缺陷导致评审工作无法进行，或者采购文件违反国家有关规定，未停止评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w:t>
            </w:r>
            <w:r>
              <w:rPr>
                <w:color w:val="000000" w:themeColor="text1"/>
                <w:spacing w:val="9"/>
                <w14:textFill>
                  <w14:solidFill>
                    <w14:schemeClr w14:val="tx1"/>
                  </w14:solidFill>
                </w14:textFill>
              </w:rPr>
              <w:t>而是根据自己理解继续</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，或停止</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但</w:t>
            </w:r>
            <w:r>
              <w:rPr>
                <w:color w:val="000000" w:themeColor="text1"/>
                <w:spacing w:val="8"/>
                <w14:textFill>
                  <w14:solidFill>
                    <w14:schemeClr w14:val="tx1"/>
                  </w14:solidFill>
                </w14:textFill>
              </w:rPr>
              <w:t>未书面说明情况。</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3</w:t>
            </w:r>
          </w:p>
        </w:tc>
        <w:tc>
          <w:tcPr>
            <w:tcW w:w="10789" w:type="dxa"/>
            <w:vAlign w:val="center"/>
          </w:tcPr>
          <w:p>
            <w:pPr>
              <w:pStyle w:val="12"/>
              <w:spacing w:before="47"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因</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原因导致项目被质疑、投诉、信访、举报，且经</w:t>
            </w:r>
            <w:r>
              <w:rPr>
                <w:rFonts w:hint="eastAsia"/>
                <w:color w:val="000000" w:themeColor="text1"/>
                <w:spacing w:val="9"/>
                <w:lang w:eastAsia="zh-CN"/>
                <w14:textFill>
                  <w14:solidFill>
                    <w14:schemeClr w14:val="tx1"/>
                  </w14:solidFill>
                </w14:textFill>
              </w:rPr>
              <w:t>行政监督</w:t>
            </w:r>
            <w:r>
              <w:rPr>
                <w:color w:val="000000" w:themeColor="text1"/>
                <w:spacing w:val="9"/>
                <w14:textFill>
                  <w14:solidFill>
                    <w14:schemeClr w14:val="tx1"/>
                  </w14:solidFill>
                </w14:textFill>
              </w:rPr>
              <w:t>部门查证质疑、投诉、信访、</w:t>
            </w:r>
            <w:r>
              <w:rPr>
                <w:color w:val="000000" w:themeColor="text1"/>
                <w:spacing w:val="8"/>
                <w14:textFill>
                  <w14:solidFill>
                    <w14:schemeClr w14:val="tx1"/>
                  </w14:solidFill>
                </w14:textFill>
              </w:rPr>
              <w:t>事项属实。</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4</w:t>
            </w:r>
          </w:p>
        </w:tc>
        <w:tc>
          <w:tcPr>
            <w:tcW w:w="10789" w:type="dxa"/>
            <w:vAlign w:val="center"/>
          </w:tcPr>
          <w:p>
            <w:pPr>
              <w:pStyle w:val="12"/>
              <w:spacing w:before="48"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9"/>
                <w14:textFill>
                  <w14:solidFill>
                    <w14:schemeClr w14:val="tx1"/>
                  </w14:solidFill>
                </w14:textFill>
              </w:rPr>
              <w:t>无正当理由拒不履行</w:t>
            </w:r>
            <w:r>
              <w:rPr>
                <w:color w:val="000000" w:themeColor="text1"/>
                <w:spacing w:val="8"/>
                <w14:textFill>
                  <w14:solidFill>
                    <w14:schemeClr w14:val="tx1"/>
                  </w14:solidFill>
                </w14:textFill>
              </w:rPr>
              <w:t>评</w:t>
            </w:r>
            <w:r>
              <w:rPr>
                <w:color w:val="000000" w:themeColor="text1"/>
                <w:spacing w:val="7"/>
                <w14:textFill>
                  <w14:solidFill>
                    <w14:schemeClr w14:val="tx1"/>
                  </w14:solidFill>
                </w14:textFill>
              </w:rPr>
              <w:t>标（评审）</w:t>
            </w:r>
            <w:r>
              <w:rPr>
                <w:color w:val="000000" w:themeColor="text1"/>
                <w:spacing w:val="9"/>
                <w14:textFill>
                  <w14:solidFill>
                    <w14:schemeClr w14:val="tx1"/>
                  </w14:solidFill>
                </w14:textFill>
              </w:rPr>
              <w:t>义务，不配合答复质疑、投诉等法</w:t>
            </w:r>
            <w:r>
              <w:rPr>
                <w:color w:val="000000" w:themeColor="text1"/>
                <w:spacing w:val="8"/>
                <w14:textFill>
                  <w14:solidFill>
                    <w14:schemeClr w14:val="tx1"/>
                  </w14:solidFill>
                </w14:textFill>
              </w:rPr>
              <w:t>定义务。</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49" w:line="226"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泄露评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文件、评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情况，影响</w:t>
            </w:r>
            <w:r>
              <w:rPr>
                <w:rFonts w:hint="eastAsia"/>
                <w:color w:val="000000" w:themeColor="text1"/>
                <w:spacing w:val="8"/>
                <w:lang w:val="en-US" w:eastAsia="zh-Hans"/>
                <w14:textFill>
                  <w14:solidFill>
                    <w14:schemeClr w14:val="tx1"/>
                  </w14:solidFill>
                </w14:textFill>
              </w:rPr>
              <w:t>交易</w:t>
            </w:r>
            <w:r>
              <w:rPr>
                <w:color w:val="000000" w:themeColor="text1"/>
                <w:spacing w:val="8"/>
                <w14:textFill>
                  <w14:solidFill>
                    <w14:schemeClr w14:val="tx1"/>
                  </w14:solidFill>
                </w14:textFill>
              </w:rPr>
              <w:t>结果。</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default"/>
                <w:color w:val="000000" w:themeColor="text1"/>
                <w:vertAlign w:val="baseline"/>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6</w:t>
            </w:r>
          </w:p>
        </w:tc>
        <w:tc>
          <w:tcPr>
            <w:tcW w:w="10789" w:type="dxa"/>
            <w:vAlign w:val="center"/>
          </w:tcPr>
          <w:p>
            <w:pPr>
              <w:pStyle w:val="12"/>
              <w:spacing w:before="49" w:line="226"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其他依法应列</w:t>
            </w:r>
            <w:r>
              <w:rPr>
                <w:rFonts w:hint="eastAsia"/>
                <w:color w:val="000000" w:themeColor="text1"/>
                <w:spacing w:val="8"/>
                <w:lang w:val="en-US" w:eastAsia="zh-Hans"/>
                <w14:textFill>
                  <w14:solidFill>
                    <w14:schemeClr w14:val="tx1"/>
                  </w14:solidFill>
                </w14:textFill>
              </w:rPr>
              <w:t>较重</w:t>
            </w:r>
            <w:r>
              <w:rPr>
                <w:rFonts w:hint="eastAsia"/>
                <w:color w:val="000000" w:themeColor="text1"/>
                <w:spacing w:val="8"/>
                <w14:textFill>
                  <w14:solidFill>
                    <w14:schemeClr w14:val="tx1"/>
                  </w14:solidFill>
                </w14:textFill>
              </w:rPr>
              <w:t>不良行为的</w:t>
            </w:r>
            <w:r>
              <w:rPr>
                <w:rFonts w:hint="default"/>
                <w:color w:val="000000" w:themeColor="text1"/>
                <w:spacing w:val="8"/>
                <w14:textFill>
                  <w14:solidFill>
                    <w14:schemeClr w14:val="tx1"/>
                  </w14:solidFill>
                </w14:textFill>
              </w:rPr>
              <w:t>。</w:t>
            </w:r>
          </w:p>
        </w:tc>
        <w:tc>
          <w:tcPr>
            <w:tcW w:w="1818" w:type="dxa"/>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w:t>
            </w:r>
            <w:r>
              <w:rPr>
                <w:rFonts w:hint="default" w:ascii="仿宋" w:hAnsi="仿宋" w:eastAsia="仿宋" w:cs="仿宋"/>
                <w:color w:val="000000" w:themeColor="text1"/>
                <w:spacing w:val="8"/>
                <w:kern w:val="2"/>
                <w:sz w:val="20"/>
                <w:szCs w:val="20"/>
                <w:lang w:eastAsia="en-US"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44" w:type="dxa"/>
            <w:gridSpan w:val="3"/>
            <w:vAlign w:val="bottom"/>
          </w:tcPr>
          <w:p>
            <w:pPr>
              <w:pStyle w:val="5"/>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789" w:type="dxa"/>
            <w:vAlign w:val="center"/>
          </w:tcPr>
          <w:p>
            <w:pPr>
              <w:pStyle w:val="12"/>
              <w:spacing w:before="66"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接受贿赂或获取其他不正当利益。</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789" w:type="dxa"/>
            <w:vAlign w:val="center"/>
          </w:tcPr>
          <w:p>
            <w:pPr>
              <w:pStyle w:val="12"/>
              <w:spacing w:before="66" w:line="225" w:lineRule="auto"/>
              <w:jc w:val="both"/>
              <w:rPr>
                <w:color w:val="000000" w:themeColor="text1"/>
                <w:spacing w:val="8"/>
                <w14:textFill>
                  <w14:solidFill>
                    <w14:schemeClr w14:val="tx1"/>
                  </w14:solidFill>
                </w14:textFill>
              </w:rPr>
            </w:pPr>
            <w:r>
              <w:rPr>
                <w:color w:val="000000" w:themeColor="text1"/>
                <w:spacing w:val="8"/>
                <w14:textFill>
                  <w14:solidFill>
                    <w14:schemeClr w14:val="tx1"/>
                  </w14:solidFill>
                </w14:textFill>
              </w:rPr>
              <w:t>与</w:t>
            </w:r>
            <w:r>
              <w:rPr>
                <w:rFonts w:hint="eastAsia"/>
                <w:color w:val="000000" w:themeColor="text1"/>
                <w:spacing w:val="8"/>
                <w:lang w:eastAsia="zh-CN"/>
                <w14:textFill>
                  <w14:solidFill>
                    <w14:schemeClr w14:val="tx1"/>
                  </w14:solidFill>
                </w14:textFill>
              </w:rPr>
              <w:t>项目发起方（采购人）</w:t>
            </w:r>
            <w:r>
              <w:rPr>
                <w:color w:val="000000" w:themeColor="text1"/>
                <w:spacing w:val="8"/>
                <w14:textFill>
                  <w14:solidFill>
                    <w14:schemeClr w14:val="tx1"/>
                  </w14:solidFill>
                </w14:textFill>
              </w:rPr>
              <w:t>、</w:t>
            </w:r>
            <w:r>
              <w:rPr>
                <w:rFonts w:hint="eastAsia"/>
                <w:color w:val="000000" w:themeColor="text1"/>
                <w:spacing w:val="8"/>
                <w:lang w:eastAsia="zh-CN"/>
                <w14:textFill>
                  <w14:solidFill>
                    <w14:schemeClr w14:val="tx1"/>
                  </w14:solidFill>
                </w14:textFill>
              </w:rPr>
              <w:t>投标人（供应商）</w:t>
            </w:r>
            <w:r>
              <w:rPr>
                <w:color w:val="000000" w:themeColor="text1"/>
                <w:spacing w:val="8"/>
                <w14:textFill>
                  <w14:solidFill>
                    <w14:schemeClr w14:val="tx1"/>
                  </w14:solidFill>
                </w14:textFill>
              </w:rPr>
              <w:t>、其他评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专家串通，评</w:t>
            </w:r>
            <w:r>
              <w:rPr>
                <w:color w:val="000000" w:themeColor="text1"/>
                <w:spacing w:val="7"/>
                <w14:textFill>
                  <w14:solidFill>
                    <w14:schemeClr w14:val="tx1"/>
                  </w14:solidFill>
                </w14:textFill>
              </w:rPr>
              <w:t>标（评审）</w:t>
            </w:r>
            <w:r>
              <w:rPr>
                <w:color w:val="000000" w:themeColor="text1"/>
                <w:spacing w:val="8"/>
                <w14:textFill>
                  <w14:solidFill>
                    <w14:schemeClr w14:val="tx1"/>
                  </w14:solidFill>
                </w14:textFill>
              </w:rPr>
              <w:t>时存在倾向性。</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789" w:type="dxa"/>
            <w:vAlign w:val="center"/>
          </w:tcPr>
          <w:p>
            <w:pPr>
              <w:pStyle w:val="12"/>
              <w:spacing w:before="66"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收受</w:t>
            </w:r>
            <w:r>
              <w:rPr>
                <w:rFonts w:hint="eastAsia"/>
                <w:color w:val="000000" w:themeColor="text1"/>
                <w:spacing w:val="8"/>
                <w:lang w:eastAsia="zh-CN"/>
                <w14:textFill>
                  <w14:solidFill>
                    <w14:schemeClr w14:val="tx1"/>
                  </w14:solidFill>
                </w14:textFill>
              </w:rPr>
              <w:t>项目发起方（采购人）</w:t>
            </w:r>
            <w:r>
              <w:rPr>
                <w:color w:val="000000" w:themeColor="text1"/>
                <w:spacing w:val="8"/>
                <w14:textFill>
                  <w14:solidFill>
                    <w14:schemeClr w14:val="tx1"/>
                  </w14:solidFill>
                </w14:textFill>
              </w:rPr>
              <w:t>、</w:t>
            </w:r>
            <w:r>
              <w:rPr>
                <w:rFonts w:hint="eastAsia"/>
                <w:color w:val="000000" w:themeColor="text1"/>
                <w:spacing w:val="8"/>
                <w:lang w:eastAsia="zh-CN"/>
                <w14:textFill>
                  <w14:solidFill>
                    <w14:schemeClr w14:val="tx1"/>
                  </w14:solidFill>
                </w14:textFill>
              </w:rPr>
              <w:t>投标人（供应商）</w:t>
            </w:r>
            <w:r>
              <w:rPr>
                <w:rFonts w:hint="eastAsia"/>
                <w:color w:val="000000" w:themeColor="text1"/>
                <w:spacing w:val="8"/>
                <w:lang w:val="en-US" w:eastAsia="zh-Hans"/>
                <w14:textFill>
                  <w14:solidFill>
                    <w14:schemeClr w14:val="tx1"/>
                  </w14:solidFill>
                </w14:textFill>
              </w:rPr>
              <w:t>等</w:t>
            </w:r>
            <w:r>
              <w:rPr>
                <w:color w:val="000000" w:themeColor="text1"/>
                <w:spacing w:val="8"/>
                <w14:textFill>
                  <w14:solidFill>
                    <w14:schemeClr w14:val="tx1"/>
                  </w14:solidFill>
                </w14:textFill>
              </w:rPr>
              <w:t>的财物或者其他好处、不公正履行职务的行为。</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789" w:type="dxa"/>
            <w:vAlign w:val="center"/>
          </w:tcPr>
          <w:p>
            <w:pPr>
              <w:pStyle w:val="12"/>
              <w:spacing w:before="65"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受到相关部门限制、取消专家资格的行政处罚的。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w:t>
            </w:r>
          </w:p>
        </w:tc>
        <w:tc>
          <w:tcPr>
            <w:tcW w:w="10789" w:type="dxa"/>
            <w:vAlign w:val="center"/>
          </w:tcPr>
          <w:p>
            <w:pPr>
              <w:pStyle w:val="12"/>
              <w:spacing w:before="67" w:line="225" w:lineRule="auto"/>
              <w:jc w:val="both"/>
              <w:rPr>
                <w:rFonts w:ascii="仿宋" w:hAnsi="仿宋" w:eastAsia="仿宋" w:cs="仿宋"/>
                <w:color w:val="000000" w:themeColor="text1"/>
                <w:kern w:val="2"/>
                <w:sz w:val="20"/>
                <w:szCs w:val="20"/>
                <w:lang w:val="en-US" w:eastAsia="en-US" w:bidi="ar-SA"/>
                <w14:textFill>
                  <w14:solidFill>
                    <w14:schemeClr w14:val="tx1"/>
                  </w14:solidFill>
                </w14:textFill>
              </w:rPr>
            </w:pPr>
            <w:r>
              <w:rPr>
                <w:color w:val="000000" w:themeColor="text1"/>
                <w:spacing w:val="8"/>
                <w14:textFill>
                  <w14:solidFill>
                    <w14:schemeClr w14:val="tx1"/>
                  </w14:solidFill>
                </w14:textFill>
              </w:rPr>
              <w:t>其他依法应列为严重不良行为的。</w:t>
            </w:r>
          </w:p>
        </w:tc>
        <w:tc>
          <w:tcPr>
            <w:tcW w:w="1818" w:type="dxa"/>
            <w:vAlign w:val="bottom"/>
          </w:tcPr>
          <w:p>
            <w:pPr>
              <w:jc w:val="center"/>
              <w:rPr>
                <w:rFonts w:hint="default" w:ascii="仿宋" w:hAnsi="仿宋" w:eastAsia="仿宋" w:cs="仿宋"/>
                <w:color w:val="000000" w:themeColor="text1"/>
                <w:spacing w:val="8"/>
                <w:kern w:val="2"/>
                <w:sz w:val="20"/>
                <w:szCs w:val="20"/>
                <w:lang w:eastAsia="en-US" w:bidi="ar-SA"/>
                <w14:textFill>
                  <w14:solidFill>
                    <w14:schemeClr w14:val="tx1"/>
                  </w14:solidFill>
                </w14:textFill>
              </w:rPr>
            </w:pPr>
            <w:r>
              <w:rPr>
                <w:rFonts w:hint="default" w:ascii="仿宋" w:hAnsi="仿宋" w:eastAsia="仿宋" w:cs="仿宋"/>
                <w:color w:val="000000" w:themeColor="text1"/>
                <w:kern w:val="2"/>
                <w:sz w:val="20"/>
                <w:szCs w:val="20"/>
                <w:lang w:val="en" w:eastAsia="zh-CN" w:bidi="ar-SA"/>
                <w14:textFill>
                  <w14:solidFill>
                    <w14:schemeClr w14:val="tx1"/>
                  </w14:solidFill>
                </w14:textFill>
              </w:rPr>
              <w:t>NR</w:t>
            </w:r>
          </w:p>
        </w:tc>
      </w:tr>
    </w:tbl>
    <w:p>
      <w:pPr>
        <w:pStyle w:val="5"/>
        <w:rPr>
          <w:rFonts w:hint="eastAsia"/>
          <w:color w:val="000000" w:themeColor="text1"/>
          <w14:textFill>
            <w14:solidFill>
              <w14:schemeClr w14:val="tx1"/>
            </w14:solidFill>
          </w14:textFill>
        </w:rPr>
      </w:pPr>
    </w:p>
    <w:p>
      <w:pPr>
        <w:pStyle w:val="5"/>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tabs>
          <w:tab w:val="left" w:pos="2381"/>
        </w:tabs>
        <w:bidi w:val="0"/>
        <w:jc w:val="left"/>
        <w:rPr>
          <w:color w:val="000000" w:themeColor="text1"/>
          <w14:textFill>
            <w14:solidFill>
              <w14:schemeClr w14:val="tx1"/>
            </w14:solidFill>
          </w14:textFill>
        </w:rPr>
      </w:pPr>
      <w:r>
        <w:rPr>
          <w:color w:val="000000" w:themeColor="text1"/>
          <w14:textFill>
            <w14:solidFill>
              <w14:schemeClr w14:val="tx1"/>
            </w14:solidFill>
          </w14:textFill>
        </w:rPr>
        <w:tab/>
      </w: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rFonts w:hint="eastAsia"/>
          <w:b/>
          <w:bCs/>
          <w:color w:val="000000" w:themeColor="text1"/>
          <w:sz w:val="32"/>
          <w:szCs w:val="32"/>
          <w:lang w:val="en-US" w:eastAsia="zh-Hans"/>
          <w14:textFill>
            <w14:solidFill>
              <w14:schemeClr w14:val="tx1"/>
            </w14:solidFill>
          </w14:textFill>
        </w:rPr>
      </w:pPr>
      <w:r>
        <w:rPr>
          <w:rFonts w:hint="eastAsia"/>
          <w:b/>
          <w:bCs/>
          <w:color w:val="000000" w:themeColor="text1"/>
          <w:sz w:val="32"/>
          <w:szCs w:val="32"/>
          <w:lang w:val="en-US" w:eastAsia="zh-Hans"/>
          <w14:textFill>
            <w14:solidFill>
              <w14:schemeClr w14:val="tx1"/>
            </w14:solidFill>
          </w14:textFill>
        </w:rPr>
        <w:br w:type="page"/>
      </w:r>
    </w:p>
    <w:p>
      <w:pPr>
        <w:pStyle w:val="5"/>
        <w:jc w:val="center"/>
        <w:rPr>
          <w:rFonts w:hint="default" w:eastAsiaTheme="minorEastAsia"/>
          <w:b/>
          <w:bCs/>
          <w:color w:val="000000" w:themeColor="text1"/>
          <w:sz w:val="32"/>
          <w:szCs w:val="32"/>
          <w:lang w:val="en-US" w:eastAsia="zh-Hans"/>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7.</w:t>
      </w:r>
      <w:r>
        <w:rPr>
          <w:rFonts w:hint="eastAsia"/>
          <w:b/>
          <w:bCs/>
          <w:color w:val="000000" w:themeColor="text1"/>
          <w:sz w:val="32"/>
          <w:szCs w:val="32"/>
          <w:lang w:val="en-US" w:eastAsia="zh-Hans"/>
          <w14:textFill>
            <w14:solidFill>
              <w14:schemeClr w14:val="tx1"/>
            </w14:solidFill>
          </w14:textFill>
        </w:rPr>
        <w:t>陕西省公共资源交易平台运行服务机构及其从业人员不良行为责任追究</w:t>
      </w:r>
    </w:p>
    <w:tbl>
      <w:tblPr>
        <w:tblStyle w:val="10"/>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637"/>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637"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2698"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637" w:type="dxa"/>
            <w:vAlign w:val="center"/>
          </w:tcPr>
          <w:p>
            <w:pPr>
              <w:pStyle w:val="12"/>
              <w:spacing w:before="44" w:line="227" w:lineRule="auto"/>
              <w:jc w:val="both"/>
              <w:rPr>
                <w:rFonts w:hint="eastAsia" w:ascii="仿宋" w:hAnsi="仿宋" w:eastAsia="仿宋" w:cs="仿宋"/>
                <w:color w:val="000000" w:themeColor="text1"/>
                <w:kern w:val="2"/>
                <w:sz w:val="20"/>
                <w:szCs w:val="20"/>
                <w:lang w:val="en-US" w:eastAsia="zh-Hans" w:bidi="ar-SA"/>
                <w14:textFill>
                  <w14:solidFill>
                    <w14:schemeClr w14:val="tx1"/>
                  </w14:solidFill>
                </w14:textFill>
              </w:rPr>
            </w:pPr>
            <w:r>
              <w:rPr>
                <w:rFonts w:hint="eastAsia"/>
                <w:color w:val="000000" w:themeColor="text1"/>
                <w:spacing w:val="7"/>
                <w14:textFill>
                  <w14:solidFill>
                    <w14:schemeClr w14:val="tx1"/>
                  </w14:solidFill>
                </w14:textFill>
              </w:rPr>
              <w:t>交易服务中玩忽职守，造成国家利益或者交易双方合法权益受损害的 </w:t>
            </w:r>
          </w:p>
        </w:tc>
        <w:tc>
          <w:tcPr>
            <w:tcW w:w="2698" w:type="dxa"/>
            <w:vMerge w:val="restart"/>
            <w:vAlign w:val="center"/>
          </w:tcPr>
          <w:p>
            <w:pPr>
              <w:pStyle w:val="5"/>
              <w:jc w:val="both"/>
              <w:rPr>
                <w:rFonts w:hint="default"/>
                <w:color w:val="000000" w:themeColor="text1"/>
                <w:vertAlign w:val="baseline"/>
                <w14:textFill>
                  <w14:solidFill>
                    <w14:schemeClr w14:val="tx1"/>
                  </w14:solidFill>
                </w14:textFill>
              </w:rPr>
            </w:pP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公共资源交易信用信息发布、维护、管理单位及其工作人员，在信用信息的归集、公开共享过程中存在弄虚作假、徇私舞弊的，由其主管部门责令改正，并予以通报批评。涉嫌违纪违法的，依法追究直接责任人和有关领导的责任。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637" w:type="dxa"/>
            <w:vAlign w:val="center"/>
          </w:tcPr>
          <w:p>
            <w:pPr>
              <w:pStyle w:val="12"/>
              <w:spacing w:before="45" w:line="223" w:lineRule="auto"/>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14:textFill>
                  <w14:solidFill>
                    <w14:schemeClr w14:val="tx1"/>
                  </w14:solidFill>
                </w14:textFill>
              </w:rPr>
              <w:t>限制或者排斥本地区、本系统以外的法人或者其他组织参加投标的 </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637" w:type="dxa"/>
            <w:vAlign w:val="center"/>
          </w:tcPr>
          <w:p>
            <w:pPr>
              <w:pStyle w:val="12"/>
              <w:spacing w:before="45" w:line="226" w:lineRule="auto"/>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8"/>
                <w14:textFill>
                  <w14:solidFill>
                    <w14:schemeClr w14:val="tx1"/>
                  </w14:solidFill>
                </w14:textFill>
              </w:rPr>
              <w:t>故意透露应该保密的交易信息，对交易结果造成影响的</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637" w:type="dxa"/>
            <w:vAlign w:val="center"/>
          </w:tcPr>
          <w:p>
            <w:pPr>
              <w:pStyle w:val="12"/>
              <w:spacing w:before="60" w:line="225"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为</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指定招标代理机构的，强制</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委托招标代理机构办理招标事宜的，或者以其他方式干涉招标投标活动的</w:t>
            </w:r>
            <w:r>
              <w:rPr>
                <w:rFonts w:hint="default"/>
                <w:color w:val="000000" w:themeColor="text1"/>
                <w:spacing w:val="8"/>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637" w:type="dxa"/>
            <w:vAlign w:val="center"/>
          </w:tcPr>
          <w:p>
            <w:pPr>
              <w:pStyle w:val="12"/>
              <w:spacing w:before="61"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以任何方式非法干涉选取评标委员会成员的</w:t>
            </w:r>
            <w:r>
              <w:rPr>
                <w:rFonts w:hint="default"/>
                <w:color w:val="000000" w:themeColor="text1"/>
                <w:spacing w:val="8"/>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637"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雇佣未依法注册的拍卖师或其他人员充任拍卖师主持拍卖活动的</w:t>
            </w:r>
            <w:r>
              <w:rPr>
                <w:rFonts w:hint="default" w:cs="仿宋"/>
                <w:color w:val="000000" w:themeColor="text1"/>
                <w:kern w:val="2"/>
                <w:sz w:val="20"/>
                <w:szCs w:val="20"/>
                <w:lang w:eastAsia="zh-Hans" w:bidi="ar-SA"/>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637"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电子交易系统运营机构向他人透露已获取的可能影响公平竞争的招标投标信息的</w:t>
            </w:r>
            <w:r>
              <w:rPr>
                <w:rFonts w:hint="default" w:cs="仿宋"/>
                <w:color w:val="000000" w:themeColor="text1"/>
                <w:kern w:val="2"/>
                <w:sz w:val="20"/>
                <w:szCs w:val="20"/>
                <w:lang w:eastAsia="zh-Hans" w:bidi="ar-SA"/>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637" w:type="dxa"/>
            <w:vAlign w:val="center"/>
          </w:tcPr>
          <w:p>
            <w:pPr>
              <w:pStyle w:val="12"/>
              <w:spacing w:before="59"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电子招标投标系统运营机构协助</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、投标人串通投标的</w:t>
            </w:r>
            <w:r>
              <w:rPr>
                <w:rFonts w:hint="default"/>
                <w:color w:val="000000" w:themeColor="text1"/>
                <w:spacing w:val="8"/>
                <w14:textFill>
                  <w14:solidFill>
                    <w14:schemeClr w14:val="tx1"/>
                  </w14:solidFill>
                </w14:textFill>
              </w:rPr>
              <w:t>。</w:t>
            </w:r>
          </w:p>
        </w:tc>
        <w:tc>
          <w:tcPr>
            <w:tcW w:w="2698" w:type="dxa"/>
            <w:vMerge w:val="continue"/>
            <w:vAlign w:val="center"/>
          </w:tcPr>
          <w:p>
            <w:pPr>
              <w:pStyle w:val="5"/>
              <w:jc w:val="center"/>
              <w:rPr>
                <w:rFonts w:hint="default"/>
                <w:color w:val="000000" w:themeColor="text1"/>
                <w:vertAlign w:val="baseline"/>
                <w14:textFill>
                  <w14:solidFill>
                    <w14:schemeClr w14:val="tx1"/>
                  </w14:solidFill>
                </w14:textFill>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3" w:lineRule="atLeast"/>
        <w:ind w:left="0" w:right="0" w:firstLine="0"/>
        <w:jc w:val="both"/>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p>
    <w:p>
      <w:pPr>
        <w:pStyle w:val="5"/>
        <w:rPr>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pStyle w:val="5"/>
        <w:jc w:val="both"/>
        <w:rPr>
          <w:rFonts w:hint="default"/>
          <w:color w:val="000000" w:themeColor="text1"/>
          <w14:textFill>
            <w14:solidFill>
              <w14:schemeClr w14:val="tx1"/>
            </w14:solidFill>
          </w14:textFill>
        </w:rPr>
      </w:pPr>
    </w:p>
    <w:p>
      <w:pPr>
        <w:pStyle w:val="5"/>
        <w:jc w:val="both"/>
        <w:rPr>
          <w:rFonts w:hint="default"/>
          <w:color w:val="000000" w:themeColor="text1"/>
          <w14:textFill>
            <w14:solidFill>
              <w14:schemeClr w14:val="tx1"/>
            </w14:solidFill>
          </w14:textFill>
        </w:rPr>
      </w:pPr>
    </w:p>
    <w:p>
      <w:pPr>
        <w:pStyle w:val="5"/>
        <w:jc w:val="both"/>
        <w:rPr>
          <w:rFonts w:hint="default"/>
          <w:color w:val="000000" w:themeColor="text1"/>
          <w14:textFill>
            <w14:solidFill>
              <w14:schemeClr w14:val="tx1"/>
            </w14:solidFill>
          </w14:textFill>
        </w:rPr>
      </w:pPr>
    </w:p>
    <w:p>
      <w:pPr>
        <w:pStyle w:val="5"/>
        <w:jc w:val="center"/>
        <w:rPr>
          <w:rFonts w:hint="default" w:eastAsiaTheme="minorEastAsia"/>
          <w:b/>
          <w:bCs/>
          <w:color w:val="000000" w:themeColor="text1"/>
          <w:sz w:val="32"/>
          <w:szCs w:val="32"/>
          <w:lang w:val="en-US" w:eastAsia="zh-Hans"/>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8.</w:t>
      </w:r>
      <w:r>
        <w:rPr>
          <w:rFonts w:hint="eastAsia"/>
          <w:b/>
          <w:bCs/>
          <w:color w:val="000000" w:themeColor="text1"/>
          <w:sz w:val="32"/>
          <w:szCs w:val="32"/>
          <w:lang w:val="en-US" w:eastAsia="zh-Hans"/>
          <w14:textFill>
            <w14:solidFill>
              <w14:schemeClr w14:val="tx1"/>
            </w14:solidFill>
          </w14:textFill>
        </w:rPr>
        <w:t>陕西省公共资源交易行政监督部门及其从业人员不良行为责任追究</w:t>
      </w:r>
    </w:p>
    <w:tbl>
      <w:tblPr>
        <w:tblStyle w:val="10"/>
        <w:tblW w:w="14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623"/>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623"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271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w:t>
            </w:r>
          </w:p>
        </w:tc>
        <w:tc>
          <w:tcPr>
            <w:tcW w:w="10623" w:type="dxa"/>
            <w:vAlign w:val="center"/>
          </w:tcPr>
          <w:p>
            <w:pPr>
              <w:pStyle w:val="12"/>
              <w:spacing w:before="44" w:line="227" w:lineRule="auto"/>
              <w:jc w:val="both"/>
              <w:rPr>
                <w:rFonts w:hint="default" w:ascii="仿宋" w:hAnsi="仿宋" w:eastAsia="仿宋" w:cs="仿宋"/>
                <w:color w:val="000000" w:themeColor="text1"/>
                <w:kern w:val="2"/>
                <w:sz w:val="20"/>
                <w:szCs w:val="20"/>
                <w:lang w:eastAsia="zh-Hans" w:bidi="ar-SA"/>
                <w14:textFill>
                  <w14:solidFill>
                    <w14:schemeClr w14:val="tx1"/>
                  </w14:solidFill>
                </w14:textFill>
              </w:rPr>
            </w:pPr>
            <w:r>
              <w:rPr>
                <w:rFonts w:hint="eastAsia"/>
                <w:color w:val="000000" w:themeColor="text1"/>
                <w:spacing w:val="7"/>
                <w14:textFill>
                  <w14:solidFill>
                    <w14:schemeClr w14:val="tx1"/>
                  </w14:solidFill>
                </w14:textFill>
              </w:rPr>
              <w:t>公务活动中徇私舞弊、滥用职权或者玩忽职守的</w:t>
            </w:r>
            <w:r>
              <w:rPr>
                <w:rFonts w:hint="default"/>
                <w:color w:val="000000" w:themeColor="text1"/>
                <w:spacing w:val="7"/>
                <w14:textFill>
                  <w14:solidFill>
                    <w14:schemeClr w14:val="tx1"/>
                  </w14:solidFill>
                </w14:textFill>
              </w:rPr>
              <w:t>。</w:t>
            </w:r>
          </w:p>
        </w:tc>
        <w:tc>
          <w:tcPr>
            <w:tcW w:w="2719" w:type="dxa"/>
            <w:vMerge w:val="restart"/>
            <w:vAlign w:val="center"/>
          </w:tcPr>
          <w:p>
            <w:pPr>
              <w:pStyle w:val="5"/>
              <w:jc w:val="both"/>
              <w:rPr>
                <w:rFonts w:hint="default"/>
                <w:color w:val="000000" w:themeColor="text1"/>
                <w:vertAlign w:val="baseline"/>
                <w14:textFill>
                  <w14:solidFill>
                    <w14:schemeClr w14:val="tx1"/>
                  </w14:solidFill>
                </w14:textFill>
              </w:rPr>
            </w:pP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转送有关部门按照干部管理权限，依法给予记过或者记大过处分；情节严重的，依法给予降级或者撤职处分；情节特别严重的，依法给予开除处分；构成犯罪的，依法追究刑事责任。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2</w:t>
            </w:r>
          </w:p>
        </w:tc>
        <w:tc>
          <w:tcPr>
            <w:tcW w:w="10623" w:type="dxa"/>
            <w:vAlign w:val="center"/>
          </w:tcPr>
          <w:p>
            <w:pPr>
              <w:pStyle w:val="12"/>
              <w:spacing w:before="45" w:line="223" w:lineRule="auto"/>
              <w:jc w:val="both"/>
              <w:rPr>
                <w:rFonts w:hint="eastAsia" w:ascii="仿宋" w:hAnsi="仿宋" w:eastAsia="仿宋" w:cs="仿宋"/>
                <w:color w:val="000000" w:themeColor="text1"/>
                <w:kern w:val="2"/>
                <w:sz w:val="20"/>
                <w:szCs w:val="20"/>
                <w:lang w:val="en-US" w:eastAsia="en-US" w:bidi="ar-SA"/>
                <w14:textFill>
                  <w14:solidFill>
                    <w14:schemeClr w14:val="tx1"/>
                  </w14:solidFill>
                </w14:textFill>
              </w:rPr>
            </w:pPr>
            <w:r>
              <w:rPr>
                <w:rFonts w:hint="eastAsia"/>
                <w:color w:val="000000" w:themeColor="text1"/>
                <w:spacing w:val="7"/>
                <w14:textFill>
                  <w14:solidFill>
                    <w14:schemeClr w14:val="tx1"/>
                  </w14:solidFill>
                </w14:textFill>
              </w:rPr>
              <w:t>违反职业道德，工作作风懈怠、工作态度恶劣，造成不良影响的</w:t>
            </w:r>
            <w:r>
              <w:rPr>
                <w:rFonts w:hint="default"/>
                <w:color w:val="000000" w:themeColor="text1"/>
                <w:spacing w:val="7"/>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3</w:t>
            </w:r>
          </w:p>
        </w:tc>
        <w:tc>
          <w:tcPr>
            <w:tcW w:w="10623" w:type="dxa"/>
            <w:vAlign w:val="center"/>
          </w:tcPr>
          <w:p>
            <w:pPr>
              <w:pStyle w:val="12"/>
              <w:spacing w:before="45" w:line="226"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要求评标委员会成员或者</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以其指定的投标人作为中标候选人或者中标人，或者以其他方式非法干涉评标活动，影响中标结果的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4</w:t>
            </w:r>
          </w:p>
        </w:tc>
        <w:tc>
          <w:tcPr>
            <w:tcW w:w="10623" w:type="dxa"/>
            <w:vAlign w:val="center"/>
          </w:tcPr>
          <w:p>
            <w:pPr>
              <w:pStyle w:val="12"/>
              <w:spacing w:before="60" w:line="225"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为</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指定招标代理机构的，强制</w:t>
            </w:r>
            <w:r>
              <w:rPr>
                <w:rFonts w:hint="eastAsia"/>
                <w:color w:val="000000" w:themeColor="text1"/>
                <w:spacing w:val="8"/>
                <w:lang w:eastAsia="zh-CN"/>
                <w14:textFill>
                  <w14:solidFill>
                    <w14:schemeClr w14:val="tx1"/>
                  </w14:solidFill>
                </w14:textFill>
              </w:rPr>
              <w:t>项目发起方</w:t>
            </w:r>
            <w:r>
              <w:rPr>
                <w:rFonts w:hint="eastAsia"/>
                <w:color w:val="000000" w:themeColor="text1"/>
                <w:spacing w:val="8"/>
                <w14:textFill>
                  <w14:solidFill>
                    <w14:schemeClr w14:val="tx1"/>
                  </w14:solidFill>
                </w14:textFill>
              </w:rPr>
              <w:t>委托招标代理机构办理招标事宜的，或者以其他方式干涉招标投标活动的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5</w:t>
            </w:r>
          </w:p>
        </w:tc>
        <w:tc>
          <w:tcPr>
            <w:tcW w:w="10623" w:type="dxa"/>
            <w:vAlign w:val="center"/>
          </w:tcPr>
          <w:p>
            <w:pPr>
              <w:pStyle w:val="12"/>
              <w:spacing w:before="61"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要求对依法必须进行招标的项目不招标，或者要求对依法应当公开招标的项目不公开招标</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6</w:t>
            </w:r>
          </w:p>
        </w:tc>
        <w:tc>
          <w:tcPr>
            <w:tcW w:w="10623"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在处理投诉过程中，对投诉人打击报复的</w:t>
            </w:r>
            <w:r>
              <w:rPr>
                <w:rFonts w:hint="default" w:cs="仿宋"/>
                <w:color w:val="000000" w:themeColor="text1"/>
                <w:kern w:val="2"/>
                <w:sz w:val="20"/>
                <w:szCs w:val="20"/>
                <w:lang w:eastAsia="zh-Hans" w:bidi="ar-SA"/>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7</w:t>
            </w:r>
          </w:p>
        </w:tc>
        <w:tc>
          <w:tcPr>
            <w:tcW w:w="10623"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Hans" w:bidi="ar-SA"/>
                <w14:textFill>
                  <w14:solidFill>
                    <w14:schemeClr w14:val="tx1"/>
                  </w14:solidFill>
                </w14:textFill>
              </w:rPr>
              <w:t>应对招标文件备案而不备案或不依法备案的</w:t>
            </w:r>
            <w:r>
              <w:rPr>
                <w:rFonts w:hint="default" w:cs="仿宋"/>
                <w:color w:val="000000" w:themeColor="text1"/>
                <w:kern w:val="2"/>
                <w:sz w:val="20"/>
                <w:szCs w:val="20"/>
                <w:lang w:eastAsia="zh-Hans" w:bidi="ar-SA"/>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8</w:t>
            </w:r>
          </w:p>
        </w:tc>
        <w:tc>
          <w:tcPr>
            <w:tcW w:w="10623" w:type="dxa"/>
            <w:vAlign w:val="center"/>
          </w:tcPr>
          <w:p>
            <w:pPr>
              <w:pStyle w:val="12"/>
              <w:spacing w:before="59" w:line="223" w:lineRule="auto"/>
              <w:jc w:val="both"/>
              <w:rPr>
                <w:rFonts w:hint="default" w:ascii="仿宋" w:hAnsi="仿宋" w:eastAsia="仿宋" w:cs="仿宋"/>
                <w:color w:val="000000" w:themeColor="text1"/>
                <w:kern w:val="2"/>
                <w:sz w:val="20"/>
                <w:szCs w:val="20"/>
                <w:lang w:eastAsia="en-US" w:bidi="ar-SA"/>
                <w14:textFill>
                  <w14:solidFill>
                    <w14:schemeClr w14:val="tx1"/>
                  </w14:solidFill>
                </w14:textFill>
              </w:rPr>
            </w:pPr>
            <w:r>
              <w:rPr>
                <w:rFonts w:hint="eastAsia"/>
                <w:color w:val="000000" w:themeColor="text1"/>
                <w:spacing w:val="8"/>
                <w14:textFill>
                  <w14:solidFill>
                    <w14:schemeClr w14:val="tx1"/>
                  </w14:solidFill>
                </w14:textFill>
              </w:rPr>
              <w:t>故意透露应该保密的交易信息，对交易结果造成影响的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9</w:t>
            </w:r>
          </w:p>
        </w:tc>
        <w:tc>
          <w:tcPr>
            <w:tcW w:w="10623" w:type="dxa"/>
            <w:vAlign w:val="center"/>
          </w:tcPr>
          <w:p>
            <w:pPr>
              <w:pStyle w:val="12"/>
              <w:spacing w:before="59" w:line="223"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以任何方式非法干涉选取评标委员会成员的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10</w:t>
            </w:r>
          </w:p>
        </w:tc>
        <w:tc>
          <w:tcPr>
            <w:tcW w:w="10623" w:type="dxa"/>
            <w:vAlign w:val="center"/>
          </w:tcPr>
          <w:p>
            <w:pPr>
              <w:pStyle w:val="12"/>
              <w:spacing w:before="59" w:line="223"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未按照规定履行有关职责，影响交易活动正常进行并造成严重后果的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default"/>
                <w:color w:val="000000" w:themeColor="text1"/>
                <w:vertAlign w:val="baseline"/>
                <w14:textFill>
                  <w14:solidFill>
                    <w14:schemeClr w14:val="tx1"/>
                  </w14:solidFill>
                </w14:textFill>
              </w:rPr>
              <w:t>11</w:t>
            </w:r>
          </w:p>
        </w:tc>
        <w:tc>
          <w:tcPr>
            <w:tcW w:w="10623" w:type="dxa"/>
            <w:vAlign w:val="center"/>
          </w:tcPr>
          <w:p>
            <w:pPr>
              <w:pStyle w:val="12"/>
              <w:spacing w:before="59" w:line="223" w:lineRule="auto"/>
              <w:jc w:val="both"/>
              <w:rPr>
                <w:rFonts w:hint="default"/>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不按规定建立评标专家档案或对评标专家档案作虚假记载的</w:t>
            </w:r>
            <w:r>
              <w:rPr>
                <w:rFonts w:hint="default"/>
                <w:color w:val="000000" w:themeColor="text1"/>
                <w:spacing w:val="8"/>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bl>
    <w:p>
      <w:pPr>
        <w:pStyle w:val="5"/>
        <w:jc w:val="center"/>
        <w:rPr>
          <w:rFonts w:hint="eastAsia"/>
          <w:b/>
          <w:bCs/>
          <w:color w:val="000000" w:themeColor="text1"/>
          <w:sz w:val="32"/>
          <w:szCs w:val="32"/>
          <w:lang w:val="en-US" w:eastAsia="zh-CN"/>
          <w14:textFill>
            <w14:solidFill>
              <w14:schemeClr w14:val="tx1"/>
            </w14:solidFill>
          </w14:textFill>
        </w:rPr>
      </w:pPr>
    </w:p>
    <w:p>
      <w:pPr>
        <w:pStyle w:val="5"/>
        <w:jc w:val="center"/>
        <w:rPr>
          <w:rFonts w:hint="eastAsia"/>
          <w:b/>
          <w:bCs/>
          <w:color w:val="000000" w:themeColor="text1"/>
          <w:sz w:val="32"/>
          <w:szCs w:val="32"/>
          <w:lang w:val="en-US" w:eastAsia="zh-CN"/>
          <w14:textFill>
            <w14:solidFill>
              <w14:schemeClr w14:val="tx1"/>
            </w14:solidFill>
          </w14:textFill>
        </w:rPr>
      </w:pPr>
    </w:p>
    <w:p>
      <w:pPr>
        <w:pStyle w:val="5"/>
        <w:jc w:val="center"/>
        <w:rPr>
          <w:rFonts w:hint="default" w:eastAsiaTheme="minorEastAsia"/>
          <w:b/>
          <w:bCs/>
          <w:color w:val="000000" w:themeColor="text1"/>
          <w:sz w:val="32"/>
          <w:szCs w:val="32"/>
          <w:lang w:val="en-US" w:eastAsia="zh-Hans"/>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9.金融机构、电子认证服务机构、电子交易平台开发维护单位及其</w:t>
      </w:r>
      <w:r>
        <w:rPr>
          <w:rFonts w:hint="eastAsia"/>
          <w:b/>
          <w:bCs/>
          <w:color w:val="000000" w:themeColor="text1"/>
          <w:sz w:val="32"/>
          <w:szCs w:val="32"/>
          <w:lang w:val="en-US" w:eastAsia="zh-Hans"/>
          <w14:textFill>
            <w14:solidFill>
              <w14:schemeClr w14:val="tx1"/>
            </w14:solidFill>
          </w14:textFill>
        </w:rPr>
        <w:t>从业人员不良行为责任追究</w:t>
      </w:r>
    </w:p>
    <w:tbl>
      <w:tblPr>
        <w:tblStyle w:val="10"/>
        <w:tblW w:w="14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623"/>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bottom"/>
          </w:tcPr>
          <w:p>
            <w:pPr>
              <w:pStyle w:val="5"/>
              <w:jc w:val="center"/>
              <w:rPr>
                <w:rFonts w:hint="eastAsia"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序号</w:t>
            </w:r>
          </w:p>
        </w:tc>
        <w:tc>
          <w:tcPr>
            <w:tcW w:w="10623"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行为信息</w:t>
            </w:r>
          </w:p>
        </w:tc>
        <w:tc>
          <w:tcPr>
            <w:tcW w:w="2719" w:type="dxa"/>
            <w:vAlign w:val="bottom"/>
          </w:tcPr>
          <w:p>
            <w:pPr>
              <w:pStyle w:val="5"/>
              <w:jc w:val="center"/>
              <w:rPr>
                <w:rFonts w:hint="default" w:eastAsiaTheme="minorEastAsia"/>
                <w:b/>
                <w:bCs/>
                <w:color w:val="000000" w:themeColor="text1"/>
                <w:sz w:val="24"/>
                <w:szCs w:val="24"/>
                <w:vertAlign w:val="baseline"/>
                <w:lang w:val="en-US" w:eastAsia="zh-Hans"/>
                <w14:textFill>
                  <w14:solidFill>
                    <w14:schemeClr w14:val="tx1"/>
                  </w14:solidFill>
                </w14:textFill>
              </w:rPr>
            </w:pPr>
            <w:r>
              <w:rPr>
                <w:rFonts w:hint="eastAsia"/>
                <w:b/>
                <w:bCs/>
                <w:color w:val="000000" w:themeColor="text1"/>
                <w:sz w:val="24"/>
                <w:szCs w:val="24"/>
                <w:vertAlign w:val="baseline"/>
                <w:lang w:val="en-US" w:eastAsia="zh-Hans"/>
                <w14:textFill>
                  <w14:solidFill>
                    <w14:schemeClr w14:val="tx1"/>
                  </w14:solidFill>
                </w14:textFill>
              </w:rPr>
              <w:t>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w:t>
            </w:r>
          </w:p>
        </w:tc>
        <w:tc>
          <w:tcPr>
            <w:tcW w:w="10623" w:type="dxa"/>
            <w:vAlign w:val="center"/>
          </w:tcPr>
          <w:p>
            <w:pPr>
              <w:pStyle w:val="12"/>
              <w:spacing w:before="45" w:line="223" w:lineRule="auto"/>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color w:val="000000" w:themeColor="text1"/>
                <w:spacing w:val="7"/>
                <w:lang w:eastAsia="zh-CN"/>
                <w14:textFill>
                  <w14:solidFill>
                    <w14:schemeClr w14:val="tx1"/>
                  </w14:solidFill>
                </w14:textFill>
              </w:rPr>
              <w:t>未</w:t>
            </w:r>
            <w:r>
              <w:rPr>
                <w:rFonts w:hint="eastAsia"/>
                <w:color w:val="000000" w:themeColor="text1"/>
                <w:spacing w:val="7"/>
                <w14:textFill>
                  <w14:solidFill>
                    <w14:schemeClr w14:val="tx1"/>
                  </w14:solidFill>
                </w14:textFill>
              </w:rPr>
              <w:t>严格落实公共资源交易活动有关保证金的收退规定</w:t>
            </w:r>
            <w:r>
              <w:rPr>
                <w:rFonts w:hint="eastAsia"/>
                <w:color w:val="000000" w:themeColor="text1"/>
                <w:spacing w:val="7"/>
                <w:lang w:eastAsia="zh-CN"/>
                <w14:textFill>
                  <w14:solidFill>
                    <w14:schemeClr w14:val="tx1"/>
                  </w14:solidFill>
                </w14:textFill>
              </w:rPr>
              <w:t>。</w:t>
            </w:r>
          </w:p>
        </w:tc>
        <w:tc>
          <w:tcPr>
            <w:tcW w:w="2719" w:type="dxa"/>
            <w:vMerge w:val="restart"/>
            <w:vAlign w:val="center"/>
          </w:tcPr>
          <w:p>
            <w:pPr>
              <w:pStyle w:val="5"/>
              <w:jc w:val="both"/>
              <w:rPr>
                <w:rFonts w:hint="default"/>
                <w:color w:val="000000" w:themeColor="text1"/>
                <w:vertAlign w:val="baseline"/>
                <w14:textFill>
                  <w14:solidFill>
                    <w14:schemeClr w14:val="tx1"/>
                  </w14:solidFill>
                </w14:textFill>
              </w:rPr>
            </w:pP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情节较轻，未造成不良影响的，责令改正；</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情节</w:t>
            </w: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较</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重，</w:t>
            </w: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造成一定影响和后果的，按照违约追究其责任</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；情节特别严重的，</w:t>
            </w: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依法移交有关行政监督部门</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；构成犯罪的，</w:t>
            </w:r>
            <w:r>
              <w:rPr>
                <w:rFonts w:hint="eastAsia" w:ascii="仿宋" w:hAnsi="仿宋" w:eastAsia="仿宋" w:cs="仿宋"/>
                <w:color w:val="000000" w:themeColor="text1"/>
                <w:spacing w:val="8"/>
                <w:kern w:val="2"/>
                <w:sz w:val="20"/>
                <w:szCs w:val="20"/>
                <w:lang w:val="en-US" w:eastAsia="zh-CN" w:bidi="ar-SA"/>
                <w14:textFill>
                  <w14:solidFill>
                    <w14:schemeClr w14:val="tx1"/>
                  </w14:solidFill>
                </w14:textFill>
              </w:rPr>
              <w:t>依法移交公安司法机关</w:t>
            </w:r>
            <w:r>
              <w:rPr>
                <w:rFonts w:hint="default" w:ascii="仿宋" w:hAnsi="仿宋" w:eastAsia="仿宋" w:cs="仿宋"/>
                <w:color w:val="000000" w:themeColor="text1"/>
                <w:spacing w:val="8"/>
                <w:kern w:val="2"/>
                <w:sz w:val="20"/>
                <w:szCs w:val="20"/>
                <w:lang w:val="en-US" w:eastAsia="en-US"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w:t>
            </w:r>
          </w:p>
        </w:tc>
        <w:tc>
          <w:tcPr>
            <w:tcW w:w="10623" w:type="dxa"/>
            <w:vAlign w:val="center"/>
          </w:tcPr>
          <w:p>
            <w:pPr>
              <w:pStyle w:val="12"/>
              <w:spacing w:before="60" w:line="225" w:lineRule="auto"/>
              <w:jc w:val="both"/>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color w:val="000000" w:themeColor="text1"/>
                <w:spacing w:val="8"/>
                <w:lang w:eastAsia="zh-CN"/>
                <w14:textFill>
                  <w14:solidFill>
                    <w14:schemeClr w14:val="tx1"/>
                  </w14:solidFill>
                </w14:textFill>
              </w:rPr>
              <w:t>未</w:t>
            </w:r>
            <w:r>
              <w:rPr>
                <w:rFonts w:hint="eastAsia"/>
                <w:color w:val="000000" w:themeColor="text1"/>
                <w:spacing w:val="8"/>
                <w14:textFill>
                  <w14:solidFill>
                    <w14:schemeClr w14:val="tx1"/>
                  </w14:solidFill>
                </w14:textFill>
              </w:rPr>
              <w:t>按规定严格执行保密规定</w:t>
            </w:r>
            <w:r>
              <w:rPr>
                <w:rFonts w:hint="eastAsia"/>
                <w:color w:val="000000" w:themeColor="text1"/>
                <w:spacing w:val="8"/>
                <w:lang w:val="en-US"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w:t>
            </w:r>
          </w:p>
        </w:tc>
        <w:tc>
          <w:tcPr>
            <w:tcW w:w="10623" w:type="dxa"/>
            <w:vAlign w:val="center"/>
          </w:tcPr>
          <w:p>
            <w:pPr>
              <w:pStyle w:val="12"/>
              <w:spacing w:before="61" w:line="223" w:lineRule="auto"/>
              <w:jc w:val="both"/>
              <w:rPr>
                <w:rFonts w:hint="default" w:ascii="仿宋" w:hAnsi="仿宋" w:eastAsia="仿宋" w:cs="仿宋"/>
                <w:color w:val="000000" w:themeColor="text1"/>
                <w:kern w:val="2"/>
                <w:sz w:val="20"/>
                <w:szCs w:val="20"/>
                <w:lang w:val="en-US" w:eastAsia="zh-CN" w:bidi="ar-SA"/>
                <w14:textFill>
                  <w14:solidFill>
                    <w14:schemeClr w14:val="tx1"/>
                  </w14:solidFill>
                </w14:textFill>
              </w:rPr>
            </w:pPr>
            <w:r>
              <w:rPr>
                <w:rFonts w:hint="eastAsia" w:cs="仿宋"/>
                <w:color w:val="000000" w:themeColor="text1"/>
                <w:kern w:val="2"/>
                <w:sz w:val="20"/>
                <w:szCs w:val="20"/>
                <w:lang w:eastAsia="zh-CN" w:bidi="ar-SA"/>
                <w14:textFill>
                  <w14:solidFill>
                    <w14:schemeClr w14:val="tx1"/>
                  </w14:solidFill>
                </w14:textFill>
              </w:rPr>
              <w:t>开具虚假保函，</w:t>
            </w:r>
            <w:r>
              <w:rPr>
                <w:rFonts w:hint="eastAsia" w:cs="仿宋"/>
                <w:color w:val="000000" w:themeColor="text1"/>
                <w:kern w:val="2"/>
                <w:sz w:val="20"/>
                <w:szCs w:val="20"/>
                <w:lang w:val="en-US" w:eastAsia="zh-CN" w:bidi="ar-SA"/>
                <w14:textFill>
                  <w14:solidFill>
                    <w14:schemeClr w14:val="tx1"/>
                  </w14:solidFill>
                </w14:textFill>
              </w:rPr>
              <w:t xml:space="preserve"> 超过规定额度开展担保业务。</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w:t>
            </w:r>
          </w:p>
        </w:tc>
        <w:tc>
          <w:tcPr>
            <w:tcW w:w="10623" w:type="dxa"/>
            <w:vAlign w:val="center"/>
          </w:tcPr>
          <w:p>
            <w:pPr>
              <w:pStyle w:val="12"/>
              <w:spacing w:before="58" w:line="225" w:lineRule="auto"/>
              <w:jc w:val="both"/>
              <w:rPr>
                <w:rFonts w:hint="eastAsia" w:eastAsia="仿宋" w:cs="仿宋"/>
                <w:color w:val="000000" w:themeColor="text1"/>
                <w:kern w:val="2"/>
                <w:sz w:val="20"/>
                <w:szCs w:val="20"/>
                <w:lang w:eastAsia="zh-CN" w:bidi="ar-SA"/>
                <w14:textFill>
                  <w14:solidFill>
                    <w14:schemeClr w14:val="tx1"/>
                  </w14:solidFill>
                </w14:textFill>
              </w:rPr>
            </w:pPr>
            <w:r>
              <w:rPr>
                <w:rFonts w:hint="eastAsia" w:cs="仿宋"/>
                <w:color w:val="000000" w:themeColor="text1"/>
                <w:kern w:val="2"/>
                <w:sz w:val="20"/>
                <w:szCs w:val="20"/>
                <w:lang w:eastAsia="zh-CN" w:bidi="ar-SA"/>
                <w14:textFill>
                  <w14:solidFill>
                    <w14:schemeClr w14:val="tx1"/>
                  </w14:solidFill>
                </w14:textFill>
              </w:rPr>
              <w:t>按照担保责任不及时履行赔付义务。</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color w:val="000000" w:themeColor="text1"/>
                <w:vertAlign w:val="baseline"/>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w:t>
            </w:r>
          </w:p>
        </w:tc>
        <w:tc>
          <w:tcPr>
            <w:tcW w:w="10623" w:type="dxa"/>
            <w:vAlign w:val="center"/>
          </w:tcPr>
          <w:p>
            <w:pPr>
              <w:pStyle w:val="12"/>
              <w:spacing w:before="58" w:line="225" w:lineRule="auto"/>
              <w:jc w:val="both"/>
              <w:rPr>
                <w:rFonts w:hint="default" w:cs="仿宋"/>
                <w:color w:val="000000" w:themeColor="text1"/>
                <w:kern w:val="2"/>
                <w:sz w:val="20"/>
                <w:szCs w:val="20"/>
                <w:lang w:eastAsia="zh-Hans" w:bidi="ar-SA"/>
                <w14:textFill>
                  <w14:solidFill>
                    <w14:schemeClr w14:val="tx1"/>
                  </w14:solidFill>
                </w14:textFill>
              </w:rPr>
            </w:pPr>
            <w:r>
              <w:rPr>
                <w:rFonts w:hint="eastAsia" w:cs="仿宋"/>
                <w:color w:val="000000" w:themeColor="text1"/>
                <w:kern w:val="2"/>
                <w:sz w:val="20"/>
                <w:szCs w:val="20"/>
                <w:lang w:val="en-US" w:eastAsia="zh-CN" w:bidi="ar-SA"/>
                <w14:textFill>
                  <w14:solidFill>
                    <w14:schemeClr w14:val="tx1"/>
                  </w14:solidFill>
                </w14:textFill>
              </w:rPr>
              <w:t>未按收费公示的内容收取不合理费用。</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w:t>
            </w:r>
          </w:p>
        </w:tc>
        <w:tc>
          <w:tcPr>
            <w:tcW w:w="10623" w:type="dxa"/>
            <w:vAlign w:val="center"/>
          </w:tcPr>
          <w:p>
            <w:pPr>
              <w:pStyle w:val="12"/>
              <w:spacing w:before="59" w:line="223" w:lineRule="auto"/>
              <w:jc w:val="both"/>
              <w:rPr>
                <w:rFonts w:hint="eastAsia" w:ascii="仿宋" w:hAnsi="仿宋" w:eastAsia="仿宋" w:cs="仿宋"/>
                <w:color w:val="000000" w:themeColor="text1"/>
                <w:kern w:val="2"/>
                <w:sz w:val="20"/>
                <w:szCs w:val="20"/>
                <w:lang w:eastAsia="zh-CN" w:bidi="ar-SA"/>
                <w14:textFill>
                  <w14:solidFill>
                    <w14:schemeClr w14:val="tx1"/>
                  </w14:solidFill>
                </w14:textFill>
              </w:rPr>
            </w:pPr>
            <w:r>
              <w:rPr>
                <w:rFonts w:hint="eastAsia" w:cs="仿宋"/>
                <w:color w:val="000000" w:themeColor="text1"/>
                <w:kern w:val="2"/>
                <w:sz w:val="20"/>
                <w:szCs w:val="20"/>
                <w:lang w:eastAsia="zh-CN" w:bidi="ar-SA"/>
                <w14:textFill>
                  <w14:solidFill>
                    <w14:schemeClr w14:val="tx1"/>
                  </w14:solidFill>
                </w14:textFill>
              </w:rPr>
              <w:t>不能</w:t>
            </w:r>
            <w:r>
              <w:rPr>
                <w:rFonts w:hint="default" w:ascii="仿宋" w:hAnsi="仿宋" w:eastAsia="仿宋" w:cs="仿宋"/>
                <w:color w:val="000000" w:themeColor="text1"/>
                <w:kern w:val="2"/>
                <w:sz w:val="20"/>
                <w:szCs w:val="20"/>
                <w:lang w:eastAsia="en-US" w:bidi="ar-SA"/>
                <w14:textFill>
                  <w14:solidFill>
                    <w14:schemeClr w14:val="tx1"/>
                  </w14:solidFill>
                </w14:textFill>
              </w:rPr>
              <w:t>支持不同电子认证服务机构数字证书的兼容互认</w:t>
            </w:r>
            <w:r>
              <w:rPr>
                <w:rFonts w:hint="eastAsia" w:cs="仿宋"/>
                <w:color w:val="000000" w:themeColor="text1"/>
                <w:kern w:val="2"/>
                <w:sz w:val="20"/>
                <w:szCs w:val="20"/>
                <w:lang w:eastAsia="zh-CN" w:bidi="ar-SA"/>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ascii="仿宋" w:hAnsi="仿宋" w:eastAsia="仿宋" w:cs="仿宋"/>
                <w:color w:val="000000" w:themeColor="text1"/>
                <w:kern w:val="2"/>
                <w:sz w:val="20"/>
                <w:szCs w:val="20"/>
                <w:lang w:eastAsia="en-US" w:bidi="ar-SA"/>
                <w14:textFill>
                  <w14:solidFill>
                    <w14:schemeClr w14:val="tx1"/>
                  </w14:solidFill>
                </w14:textFill>
              </w:rPr>
              <w:t>倒卖、出租、出借或者以其他形式非法转让《电</w:t>
            </w:r>
            <w:r>
              <w:rPr>
                <w:rFonts w:hint="eastAsia" w:cs="仿宋"/>
                <w:color w:val="000000" w:themeColor="text1"/>
                <w:kern w:val="2"/>
                <w:sz w:val="20"/>
                <w:szCs w:val="20"/>
                <w:lang w:eastAsia="zh-CN" w:bidi="ar-SA"/>
                <w14:textFill>
                  <w14:solidFill>
                    <w14:schemeClr w14:val="tx1"/>
                  </w14:solidFill>
                </w14:textFill>
              </w:rPr>
              <w:t>子认证服务许可证</w:t>
            </w:r>
            <w:r>
              <w:rPr>
                <w:rFonts w:hint="default" w:ascii="仿宋" w:hAnsi="仿宋" w:eastAsia="仿宋" w:cs="仿宋"/>
                <w:color w:val="000000" w:themeColor="text1"/>
                <w:kern w:val="2"/>
                <w:sz w:val="20"/>
                <w:szCs w:val="20"/>
                <w:lang w:eastAsia="en-US" w:bidi="ar-SA"/>
                <w14:textFill>
                  <w14:solidFill>
                    <w14:schemeClr w14:val="tx1"/>
                  </w14:solidFill>
                </w14:textFill>
              </w:rPr>
              <w:t>》的</w:t>
            </w:r>
            <w:r>
              <w:rPr>
                <w:rFonts w:hint="eastAsia" w:cs="仿宋"/>
                <w:color w:val="000000" w:themeColor="text1"/>
                <w:kern w:val="2"/>
                <w:sz w:val="20"/>
                <w:szCs w:val="20"/>
                <w:lang w:eastAsia="zh-CN" w:bidi="ar-SA"/>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8</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color w:val="000000" w:themeColor="text1"/>
                <w:spacing w:val="8"/>
                <w14:textFill>
                  <w14:solidFill>
                    <w14:schemeClr w14:val="tx1"/>
                  </w14:solidFill>
                </w14:textFill>
              </w:rPr>
              <w:t>由于电子交易平台发生故障不及时维修而影响交易活动顺利开展的</w:t>
            </w:r>
            <w:r>
              <w:rPr>
                <w:rFonts w:hint="eastAsia"/>
                <w:color w:val="000000" w:themeColor="text1"/>
                <w:spacing w:val="8"/>
                <w:lang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eastAsia" w:eastAsiaTheme="minor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9</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color w:val="000000" w:themeColor="text1"/>
                <w:spacing w:val="8"/>
                <w14:textFill>
                  <w14:solidFill>
                    <w14:schemeClr w14:val="tx1"/>
                  </w14:solidFill>
                </w14:textFill>
              </w:rPr>
              <w:t>弄虚作假、串通交易提供便利的</w:t>
            </w:r>
            <w:r>
              <w:rPr>
                <w:rFonts w:hint="eastAsia"/>
                <w:color w:val="000000" w:themeColor="text1"/>
                <w:spacing w:val="8"/>
                <w:lang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color w:val="000000" w:themeColor="text1"/>
                <w:spacing w:val="8"/>
                <w14:textFill>
                  <w14:solidFill>
                    <w14:schemeClr w14:val="tx1"/>
                  </w14:solidFill>
                </w14:textFill>
              </w:rPr>
              <w:t>违法篡改数据电文的行为</w:t>
            </w:r>
            <w:r>
              <w:rPr>
                <w:rFonts w:hint="eastAsia"/>
                <w:color w:val="000000" w:themeColor="text1"/>
                <w:spacing w:val="8"/>
                <w:lang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vAlign w:val="center"/>
          </w:tcPr>
          <w:p>
            <w:pPr>
              <w:pStyle w:val="5"/>
              <w:jc w:val="center"/>
              <w:rPr>
                <w:rFonts w:hint="default"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11</w:t>
            </w:r>
          </w:p>
        </w:tc>
        <w:tc>
          <w:tcPr>
            <w:tcW w:w="10623" w:type="dxa"/>
            <w:vAlign w:val="center"/>
          </w:tcPr>
          <w:p>
            <w:pPr>
              <w:pStyle w:val="12"/>
              <w:spacing w:before="59" w:line="223" w:lineRule="auto"/>
              <w:jc w:val="both"/>
              <w:rPr>
                <w:rFonts w:hint="eastAsia" w:eastAsia="仿宋"/>
                <w:color w:val="000000" w:themeColor="text1"/>
                <w:spacing w:val="8"/>
                <w:lang w:eastAsia="zh-CN"/>
                <w14:textFill>
                  <w14:solidFill>
                    <w14:schemeClr w14:val="tx1"/>
                  </w14:solidFill>
                </w14:textFill>
              </w:rPr>
            </w:pPr>
            <w:r>
              <w:rPr>
                <w:rFonts w:hint="default"/>
                <w:color w:val="000000" w:themeColor="text1"/>
                <w:spacing w:val="8"/>
                <w14:textFill>
                  <w14:solidFill>
                    <w14:schemeClr w14:val="tx1"/>
                  </w14:solidFill>
                </w14:textFill>
              </w:rPr>
              <w:t>其他违法违规行为</w:t>
            </w:r>
            <w:r>
              <w:rPr>
                <w:rFonts w:hint="eastAsia"/>
                <w:color w:val="000000" w:themeColor="text1"/>
                <w:spacing w:val="8"/>
                <w:lang w:eastAsia="zh-CN"/>
                <w14:textFill>
                  <w14:solidFill>
                    <w14:schemeClr w14:val="tx1"/>
                  </w14:solidFill>
                </w14:textFill>
              </w:rPr>
              <w:t>。</w:t>
            </w:r>
          </w:p>
        </w:tc>
        <w:tc>
          <w:tcPr>
            <w:tcW w:w="2719" w:type="dxa"/>
            <w:vMerge w:val="continue"/>
            <w:vAlign w:val="center"/>
          </w:tcPr>
          <w:p>
            <w:pPr>
              <w:pStyle w:val="5"/>
              <w:jc w:val="center"/>
              <w:rPr>
                <w:rFonts w:hint="default"/>
                <w:color w:val="000000" w:themeColor="text1"/>
                <w:vertAlign w:val="baseline"/>
                <w14:textFill>
                  <w14:solidFill>
                    <w14:schemeClr w14:val="tx1"/>
                  </w14:solidFill>
                </w14:textFill>
              </w:rPr>
            </w:pPr>
          </w:p>
        </w:tc>
      </w:tr>
    </w:tbl>
    <w:p>
      <w:pPr>
        <w:pStyle w:val="5"/>
        <w:rPr>
          <w:rFonts w:hint="default" w:ascii="Arial" w:hAnsi="Arial" w:cs="Arial"/>
          <w:i w:val="0"/>
          <w:iCs w:val="0"/>
          <w:caps w:val="0"/>
          <w:color w:val="000000" w:themeColor="text1"/>
          <w:spacing w:val="0"/>
          <w:sz w:val="24"/>
          <w:szCs w:val="24"/>
          <w:shd w:val="clear" w:color="auto" w:fill="FFFFFF"/>
          <w:lang w:val="en-US" w:eastAsia="zh-Hans"/>
          <w14:textFill>
            <w14:solidFill>
              <w14:schemeClr w14:val="tx1"/>
            </w14:solidFill>
          </w14:textFill>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EU-B1"/>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ZDEyMTg3OTExYTFkNjg1ZDg1NzhjNDMzZjIxZDMifQ=="/>
  </w:docVars>
  <w:rsids>
    <w:rsidRoot w:val="5F67D6D9"/>
    <w:rsid w:val="026F46D2"/>
    <w:rsid w:val="0B01217D"/>
    <w:rsid w:val="0D1A79C4"/>
    <w:rsid w:val="0E7F13B2"/>
    <w:rsid w:val="127F665A"/>
    <w:rsid w:val="157198B8"/>
    <w:rsid w:val="17876D25"/>
    <w:rsid w:val="19EC2827"/>
    <w:rsid w:val="1AFF658A"/>
    <w:rsid w:val="1B5FF002"/>
    <w:rsid w:val="1CB203A3"/>
    <w:rsid w:val="217D645B"/>
    <w:rsid w:val="27E70AD2"/>
    <w:rsid w:val="27EDE9AA"/>
    <w:rsid w:val="2BFFD823"/>
    <w:rsid w:val="2FBF0173"/>
    <w:rsid w:val="32075FF9"/>
    <w:rsid w:val="357FD8E5"/>
    <w:rsid w:val="36373E8B"/>
    <w:rsid w:val="37C303DF"/>
    <w:rsid w:val="3A523B60"/>
    <w:rsid w:val="3B7B6CEA"/>
    <w:rsid w:val="3D798276"/>
    <w:rsid w:val="3EBF38F8"/>
    <w:rsid w:val="406D2DC0"/>
    <w:rsid w:val="40E12FE8"/>
    <w:rsid w:val="41760AA5"/>
    <w:rsid w:val="4629258A"/>
    <w:rsid w:val="4B995DC4"/>
    <w:rsid w:val="514723F3"/>
    <w:rsid w:val="517E7B85"/>
    <w:rsid w:val="56FBA336"/>
    <w:rsid w:val="577F5C43"/>
    <w:rsid w:val="57FC20E6"/>
    <w:rsid w:val="596A6CE9"/>
    <w:rsid w:val="5A9A4C15"/>
    <w:rsid w:val="5D4FCAAA"/>
    <w:rsid w:val="5D802B96"/>
    <w:rsid w:val="5E6B4416"/>
    <w:rsid w:val="5F67D6D9"/>
    <w:rsid w:val="5FC807B7"/>
    <w:rsid w:val="5FEE35A2"/>
    <w:rsid w:val="647707EA"/>
    <w:rsid w:val="657B2CF4"/>
    <w:rsid w:val="65F7CA31"/>
    <w:rsid w:val="67DF2422"/>
    <w:rsid w:val="68F16798"/>
    <w:rsid w:val="6BFF2F6B"/>
    <w:rsid w:val="6E163246"/>
    <w:rsid w:val="6E394DCF"/>
    <w:rsid w:val="6E4833B5"/>
    <w:rsid w:val="6F4F3268"/>
    <w:rsid w:val="6F7B1CA4"/>
    <w:rsid w:val="72F86CBC"/>
    <w:rsid w:val="73DDFD23"/>
    <w:rsid w:val="76FA61DD"/>
    <w:rsid w:val="773E6ACF"/>
    <w:rsid w:val="77FE7CC3"/>
    <w:rsid w:val="77FFBA38"/>
    <w:rsid w:val="78177BE5"/>
    <w:rsid w:val="7B77121D"/>
    <w:rsid w:val="7BEE50D3"/>
    <w:rsid w:val="7CBFCC4E"/>
    <w:rsid w:val="7CFE16B1"/>
    <w:rsid w:val="7CFEEDCF"/>
    <w:rsid w:val="7DEF9DD1"/>
    <w:rsid w:val="7E9C652B"/>
    <w:rsid w:val="7EEF2413"/>
    <w:rsid w:val="7F9989D6"/>
    <w:rsid w:val="7FD64660"/>
    <w:rsid w:val="7FFB77CD"/>
    <w:rsid w:val="7FFF69E9"/>
    <w:rsid w:val="9BE656C1"/>
    <w:rsid w:val="9EFFAF19"/>
    <w:rsid w:val="9FEFDD3C"/>
    <w:rsid w:val="A799D502"/>
    <w:rsid w:val="ABD54BF0"/>
    <w:rsid w:val="AF7F858F"/>
    <w:rsid w:val="B6FF7187"/>
    <w:rsid w:val="BE857970"/>
    <w:rsid w:val="BF7F4090"/>
    <w:rsid w:val="C7CF75A4"/>
    <w:rsid w:val="CFBA5A1B"/>
    <w:rsid w:val="D3FC7219"/>
    <w:rsid w:val="D88911D5"/>
    <w:rsid w:val="DEBFD42D"/>
    <w:rsid w:val="DF7F2373"/>
    <w:rsid w:val="DFEE42AC"/>
    <w:rsid w:val="E5BB9A79"/>
    <w:rsid w:val="EBAFEA0D"/>
    <w:rsid w:val="EBFB9FFA"/>
    <w:rsid w:val="ECFF3641"/>
    <w:rsid w:val="ED7FBD17"/>
    <w:rsid w:val="EEBD7D07"/>
    <w:rsid w:val="EEFB1832"/>
    <w:rsid w:val="F79F365D"/>
    <w:rsid w:val="F7DD3CD1"/>
    <w:rsid w:val="F7F2D410"/>
    <w:rsid w:val="F7FDA753"/>
    <w:rsid w:val="FAF7700D"/>
    <w:rsid w:val="FEFF8151"/>
    <w:rsid w:val="FFAD5DB3"/>
    <w:rsid w:val="FFD79117"/>
    <w:rsid w:val="FFDF410F"/>
    <w:rsid w:val="FFEFC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qFormat/>
    <w:uiPriority w:val="0"/>
    <w:pPr>
      <w:spacing w:after="120" w:afterLines="0" w:afterAutospacing="0"/>
      <w:ind w:left="420" w:leftChars="200"/>
    </w:pPr>
  </w:style>
  <w:style w:type="paragraph" w:styleId="4">
    <w:name w:val="annotation text"/>
    <w:basedOn w:val="1"/>
    <w:qFormat/>
    <w:uiPriority w:val="0"/>
    <w:pPr>
      <w:jc w:val="left"/>
    </w:pPr>
  </w:style>
  <w:style w:type="paragraph" w:styleId="5">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2023-11-29T10:07:00Z</dcterms:created>
  <dc:creator>Te Fuir</dc:creator>
  <cp:lastModifiedBy>user</cp:lastModifiedBy>
  <dcterms:modified xsi:type="dcterms:W3CDTF">2024-08-13T11:00:49Z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771F18D4A3EFDDFD61CCBA66DA253739</vt:lpwstr>
  </property>
</Properties>
</file>